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CD0B" w14:textId="4A631B88" w:rsidR="002B7515" w:rsidRPr="00A56327" w:rsidRDefault="002B7515" w:rsidP="002B7515">
      <w:pPr>
        <w:jc w:val="center"/>
        <w:rPr>
          <w:rFonts w:ascii="Georgia" w:hAnsi="Georgia"/>
        </w:rPr>
      </w:pPr>
      <w:r w:rsidRPr="00A56327">
        <w:rPr>
          <w:rFonts w:ascii="Georgia" w:hAnsi="Georgia"/>
          <w:noProof/>
        </w:rPr>
        <w:drawing>
          <wp:anchor distT="0" distB="0" distL="114300" distR="114300" simplePos="0" relativeHeight="251659264" behindDoc="1" locked="0" layoutInCell="1" allowOverlap="1" wp14:anchorId="709CFC99" wp14:editId="31CB9AE3">
            <wp:simplePos x="0" y="0"/>
            <wp:positionH relativeFrom="column">
              <wp:posOffset>-635</wp:posOffset>
            </wp:positionH>
            <wp:positionV relativeFrom="paragraph">
              <wp:posOffset>-297815</wp:posOffset>
            </wp:positionV>
            <wp:extent cx="3080466" cy="845820"/>
            <wp:effectExtent l="0" t="0" r="5715" b="0"/>
            <wp:wrapNone/>
            <wp:docPr id="1026" name="Picture 2" descr="C:\Users\Communication\Desktop\Communication\FUSION\COM FUSION\Log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Communication\Desktop\Communication\FUSION\COM FUSION\Logo\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0466" cy="845820"/>
                    </a:xfrm>
                    <a:prstGeom prst="rect">
                      <a:avLst/>
                    </a:prstGeom>
                    <a:noFill/>
                  </pic:spPr>
                </pic:pic>
              </a:graphicData>
            </a:graphic>
            <wp14:sizeRelH relativeFrom="margin">
              <wp14:pctWidth>0</wp14:pctWidth>
            </wp14:sizeRelH>
            <wp14:sizeRelV relativeFrom="margin">
              <wp14:pctHeight>0</wp14:pctHeight>
            </wp14:sizeRelV>
          </wp:anchor>
        </w:drawing>
      </w:r>
    </w:p>
    <w:p w14:paraId="025BF354" w14:textId="77777777" w:rsidR="002B7515" w:rsidRPr="00A56327" w:rsidRDefault="002B7515" w:rsidP="002B7515">
      <w:pPr>
        <w:jc w:val="center"/>
        <w:rPr>
          <w:rFonts w:ascii="Georgia" w:hAnsi="Georgia"/>
        </w:rPr>
      </w:pPr>
    </w:p>
    <w:p w14:paraId="661791C7" w14:textId="14D1A993" w:rsidR="004B5844" w:rsidRPr="00A56327" w:rsidRDefault="004B5844" w:rsidP="002B7515">
      <w:pPr>
        <w:jc w:val="center"/>
        <w:rPr>
          <w:rFonts w:ascii="Georgia" w:hAnsi="Georgia"/>
        </w:rPr>
      </w:pPr>
    </w:p>
    <w:p w14:paraId="1E1CB3E1" w14:textId="77777777" w:rsidR="002B7515" w:rsidRPr="00A56327" w:rsidRDefault="002B7515" w:rsidP="002B7515">
      <w:pPr>
        <w:jc w:val="center"/>
        <w:rPr>
          <w:rFonts w:ascii="Georgia" w:hAnsi="Georgia"/>
        </w:rPr>
      </w:pPr>
    </w:p>
    <w:p w14:paraId="2877789A" w14:textId="77777777" w:rsidR="002B7515" w:rsidRPr="00A56327" w:rsidRDefault="002B7515" w:rsidP="002B7515">
      <w:pPr>
        <w:jc w:val="center"/>
        <w:rPr>
          <w:rFonts w:ascii="Georgia" w:hAnsi="Georgia"/>
        </w:rPr>
      </w:pPr>
    </w:p>
    <w:p w14:paraId="6995C904" w14:textId="77777777" w:rsidR="002B7515" w:rsidRPr="00A56327" w:rsidRDefault="002B7515" w:rsidP="002B7515">
      <w:pPr>
        <w:jc w:val="center"/>
        <w:rPr>
          <w:rFonts w:ascii="Georgia" w:hAnsi="Georgia"/>
        </w:rPr>
      </w:pPr>
    </w:p>
    <w:p w14:paraId="2BE17070" w14:textId="77777777" w:rsidR="00B83D88" w:rsidRDefault="00B83D88" w:rsidP="002B7515">
      <w:pPr>
        <w:jc w:val="center"/>
        <w:rPr>
          <w:rFonts w:ascii="Georgia" w:hAnsi="Georgia"/>
        </w:rPr>
      </w:pPr>
    </w:p>
    <w:p w14:paraId="4E543A35" w14:textId="77777777" w:rsidR="00B83D88" w:rsidRPr="00A56327" w:rsidRDefault="00B83D88" w:rsidP="002B7515">
      <w:pPr>
        <w:jc w:val="center"/>
        <w:rPr>
          <w:rFonts w:ascii="Georgia" w:hAnsi="Georgia"/>
        </w:rPr>
      </w:pPr>
    </w:p>
    <w:p w14:paraId="61B63F49" w14:textId="77777777" w:rsidR="002B7515" w:rsidRDefault="002B7515" w:rsidP="002B7515">
      <w:pPr>
        <w:jc w:val="center"/>
        <w:rPr>
          <w:rFonts w:ascii="Georgia" w:hAnsi="Georgia"/>
        </w:rPr>
      </w:pPr>
    </w:p>
    <w:p w14:paraId="4C470A2E" w14:textId="77777777" w:rsidR="00B83D88" w:rsidRPr="00A56327" w:rsidRDefault="00B83D88" w:rsidP="002B7515">
      <w:pPr>
        <w:jc w:val="center"/>
        <w:rPr>
          <w:rFonts w:ascii="Georgia" w:hAnsi="Georgia"/>
        </w:rPr>
      </w:pPr>
    </w:p>
    <w:p w14:paraId="5B410143" w14:textId="304CF43E" w:rsidR="002B7515" w:rsidRPr="00B83D88" w:rsidRDefault="002B7515" w:rsidP="002B7515">
      <w:pPr>
        <w:jc w:val="center"/>
        <w:rPr>
          <w:rFonts w:ascii="Georgia" w:hAnsi="Georgia"/>
          <w:b/>
          <w:bCs/>
          <w:color w:val="00B0F0"/>
          <w:sz w:val="52"/>
          <w:szCs w:val="52"/>
        </w:rPr>
      </w:pPr>
      <w:r w:rsidRPr="00B83D88">
        <w:rPr>
          <w:rFonts w:ascii="Georgia" w:hAnsi="Georgia"/>
          <w:b/>
          <w:bCs/>
          <w:color w:val="00B0F0"/>
          <w:sz w:val="52"/>
          <w:szCs w:val="52"/>
        </w:rPr>
        <w:t xml:space="preserve">PLUi </w:t>
      </w:r>
      <w:r w:rsidR="00862F22">
        <w:rPr>
          <w:rFonts w:ascii="Georgia" w:hAnsi="Georgia"/>
          <w:b/>
          <w:bCs/>
          <w:color w:val="00B0F0"/>
          <w:sz w:val="52"/>
          <w:szCs w:val="52"/>
        </w:rPr>
        <w:t>du Pays d’</w:t>
      </w:r>
      <w:proofErr w:type="spellStart"/>
      <w:r w:rsidR="00862F22">
        <w:rPr>
          <w:rFonts w:ascii="Georgia" w:hAnsi="Georgia"/>
          <w:b/>
          <w:bCs/>
          <w:color w:val="00B0F0"/>
          <w:sz w:val="52"/>
          <w:szCs w:val="52"/>
        </w:rPr>
        <w:t>Orthe</w:t>
      </w:r>
      <w:proofErr w:type="spellEnd"/>
      <w:r w:rsidRPr="00B83D88">
        <w:rPr>
          <w:rFonts w:ascii="Georgia" w:hAnsi="Georgia"/>
          <w:b/>
          <w:bCs/>
          <w:color w:val="00B0F0"/>
          <w:sz w:val="52"/>
          <w:szCs w:val="52"/>
        </w:rPr>
        <w:t xml:space="preserve"> </w:t>
      </w:r>
    </w:p>
    <w:p w14:paraId="4B1697DD" w14:textId="1AB68831" w:rsidR="002B7515" w:rsidRPr="00A56327" w:rsidRDefault="002B7515" w:rsidP="002B7515">
      <w:pPr>
        <w:jc w:val="center"/>
        <w:rPr>
          <w:rFonts w:ascii="Georgia" w:hAnsi="Georgia"/>
          <w:b/>
          <w:bCs/>
          <w:sz w:val="52"/>
          <w:szCs w:val="52"/>
        </w:rPr>
      </w:pPr>
      <w:r w:rsidRPr="00A56327">
        <w:rPr>
          <w:rFonts w:ascii="Georgia" w:hAnsi="Georgia"/>
          <w:b/>
          <w:bCs/>
          <w:sz w:val="52"/>
          <w:szCs w:val="52"/>
        </w:rPr>
        <w:t xml:space="preserve">Modification simplifiée n°3 du PLUi </w:t>
      </w:r>
      <w:r w:rsidR="00862F22">
        <w:rPr>
          <w:rFonts w:ascii="Georgia" w:hAnsi="Georgia"/>
          <w:b/>
          <w:bCs/>
          <w:sz w:val="52"/>
          <w:szCs w:val="52"/>
        </w:rPr>
        <w:t>du Pays d’</w:t>
      </w:r>
      <w:proofErr w:type="spellStart"/>
      <w:r w:rsidR="00862F22">
        <w:rPr>
          <w:rFonts w:ascii="Georgia" w:hAnsi="Georgia"/>
          <w:b/>
          <w:bCs/>
          <w:sz w:val="52"/>
          <w:szCs w:val="52"/>
        </w:rPr>
        <w:t>Orthe</w:t>
      </w:r>
      <w:proofErr w:type="spellEnd"/>
      <w:r w:rsidRPr="00A56327">
        <w:rPr>
          <w:rFonts w:ascii="Georgia" w:hAnsi="Georgia"/>
          <w:b/>
          <w:bCs/>
          <w:sz w:val="52"/>
          <w:szCs w:val="52"/>
        </w:rPr>
        <w:t xml:space="preserve"> </w:t>
      </w:r>
    </w:p>
    <w:p w14:paraId="5AA01FE4" w14:textId="77777777" w:rsidR="00B83D88" w:rsidRDefault="00B83D88" w:rsidP="002B7515">
      <w:pPr>
        <w:jc w:val="center"/>
        <w:rPr>
          <w:rFonts w:ascii="Georgia" w:hAnsi="Georgia"/>
          <w:sz w:val="52"/>
          <w:szCs w:val="52"/>
        </w:rPr>
      </w:pPr>
    </w:p>
    <w:p w14:paraId="7737483A" w14:textId="77777777" w:rsidR="00B83D88" w:rsidRPr="00A56327" w:rsidRDefault="00B83D88" w:rsidP="002B7515">
      <w:pPr>
        <w:jc w:val="center"/>
        <w:rPr>
          <w:rFonts w:ascii="Georgia" w:hAnsi="Georgia"/>
          <w:sz w:val="52"/>
          <w:szCs w:val="52"/>
        </w:rPr>
      </w:pPr>
    </w:p>
    <w:p w14:paraId="607CE922" w14:textId="138B0C4F" w:rsidR="002B7515" w:rsidRPr="00A56327" w:rsidRDefault="002B7515" w:rsidP="002B7515">
      <w:pPr>
        <w:jc w:val="center"/>
        <w:rPr>
          <w:rFonts w:ascii="Georgia" w:hAnsi="Georgia"/>
          <w:sz w:val="52"/>
          <w:szCs w:val="52"/>
        </w:rPr>
      </w:pPr>
      <w:r w:rsidRPr="00A56327">
        <w:rPr>
          <w:rFonts w:ascii="Georgia" w:hAnsi="Georgia"/>
          <w:sz w:val="52"/>
          <w:szCs w:val="52"/>
        </w:rPr>
        <w:t xml:space="preserve">Notice complémentaire au rapport de présentation </w:t>
      </w:r>
    </w:p>
    <w:p w14:paraId="0092CCC9" w14:textId="698E626C" w:rsidR="00A56327" w:rsidRPr="00A56327" w:rsidRDefault="002B7515" w:rsidP="002B7515">
      <w:pPr>
        <w:rPr>
          <w:rFonts w:ascii="Georgia" w:hAnsi="Georgia"/>
          <w:sz w:val="52"/>
          <w:szCs w:val="52"/>
        </w:rPr>
      </w:pPr>
      <w:r w:rsidRPr="00A56327">
        <w:rPr>
          <w:rFonts w:ascii="Georgia" w:hAnsi="Georgia"/>
          <w:sz w:val="52"/>
          <w:szCs w:val="52"/>
        </w:rPr>
        <w:br w:type="page"/>
      </w:r>
    </w:p>
    <w:sdt>
      <w:sdtPr>
        <w:rPr>
          <w:rFonts w:asciiTheme="minorHAnsi" w:eastAsiaTheme="minorHAnsi" w:hAnsiTheme="minorHAnsi" w:cstheme="minorBidi"/>
          <w:color w:val="auto"/>
          <w:kern w:val="2"/>
          <w:sz w:val="22"/>
          <w:szCs w:val="22"/>
          <w:lang w:eastAsia="en-US"/>
          <w14:ligatures w14:val="standardContextual"/>
        </w:rPr>
        <w:id w:val="495696708"/>
        <w:docPartObj>
          <w:docPartGallery w:val="Table of Contents"/>
          <w:docPartUnique/>
        </w:docPartObj>
      </w:sdtPr>
      <w:sdtEndPr>
        <w:rPr>
          <w:b/>
          <w:bCs/>
        </w:rPr>
      </w:sdtEndPr>
      <w:sdtContent>
        <w:p w14:paraId="1AC6F5B1" w14:textId="39FE3540" w:rsidR="00A56327" w:rsidRDefault="00A56327">
          <w:pPr>
            <w:pStyle w:val="En-ttedetabledesmatires"/>
          </w:pPr>
          <w:r w:rsidRPr="00CE721B">
            <w:rPr>
              <w:rFonts w:ascii="Georgia" w:hAnsi="Georgia"/>
              <w:color w:val="00B0F0"/>
              <w:sz w:val="28"/>
              <w:szCs w:val="28"/>
              <w:u w:val="single"/>
            </w:rPr>
            <w:t>Sommaire</w:t>
          </w:r>
          <w:r>
            <w:t xml:space="preserve"> </w:t>
          </w:r>
        </w:p>
        <w:p w14:paraId="5B3842DA" w14:textId="77777777" w:rsidR="00CE721B" w:rsidRDefault="00CE721B">
          <w:pPr>
            <w:pStyle w:val="TM1"/>
            <w:tabs>
              <w:tab w:val="right" w:leader="dot" w:pos="9628"/>
            </w:tabs>
          </w:pPr>
        </w:p>
        <w:p w14:paraId="6C1806F4" w14:textId="0EE160ED" w:rsidR="00B83D88" w:rsidRDefault="00A56327">
          <w:pPr>
            <w:pStyle w:val="TM1"/>
            <w:tabs>
              <w:tab w:val="right" w:leader="dot" w:pos="9628"/>
            </w:tabs>
            <w:rPr>
              <w:rFonts w:eastAsiaTheme="minorEastAsia"/>
              <w:noProof/>
              <w:sz w:val="24"/>
              <w:szCs w:val="24"/>
              <w:lang w:eastAsia="fr-FR"/>
            </w:rPr>
          </w:pPr>
          <w:r>
            <w:fldChar w:fldCharType="begin"/>
          </w:r>
          <w:r>
            <w:instrText xml:space="preserve"> TOC \o "1-3" \h \z \u </w:instrText>
          </w:r>
          <w:r>
            <w:fldChar w:fldCharType="separate"/>
          </w:r>
          <w:hyperlink w:anchor="_Toc190960115" w:history="1">
            <w:r w:rsidR="00B83D88" w:rsidRPr="008E737B">
              <w:rPr>
                <w:rStyle w:val="Lienhypertexte"/>
                <w:rFonts w:ascii="Georgia" w:hAnsi="Georgia"/>
                <w:noProof/>
              </w:rPr>
              <w:t>Préambule</w:t>
            </w:r>
            <w:r w:rsidR="00B83D88">
              <w:rPr>
                <w:noProof/>
                <w:webHidden/>
              </w:rPr>
              <w:tab/>
            </w:r>
            <w:r w:rsidR="00B83D88">
              <w:rPr>
                <w:noProof/>
                <w:webHidden/>
              </w:rPr>
              <w:fldChar w:fldCharType="begin"/>
            </w:r>
            <w:r w:rsidR="00B83D88">
              <w:rPr>
                <w:noProof/>
                <w:webHidden/>
              </w:rPr>
              <w:instrText xml:space="preserve"> PAGEREF _Toc190960115 \h </w:instrText>
            </w:r>
            <w:r w:rsidR="00B83D88">
              <w:rPr>
                <w:noProof/>
                <w:webHidden/>
              </w:rPr>
            </w:r>
            <w:r w:rsidR="00B83D88">
              <w:rPr>
                <w:noProof/>
                <w:webHidden/>
              </w:rPr>
              <w:fldChar w:fldCharType="separate"/>
            </w:r>
            <w:r w:rsidR="0040286D">
              <w:rPr>
                <w:noProof/>
                <w:webHidden/>
              </w:rPr>
              <w:t>4</w:t>
            </w:r>
            <w:r w:rsidR="00B83D88">
              <w:rPr>
                <w:noProof/>
                <w:webHidden/>
              </w:rPr>
              <w:fldChar w:fldCharType="end"/>
            </w:r>
          </w:hyperlink>
        </w:p>
        <w:p w14:paraId="70CFAB95" w14:textId="7F7756AA" w:rsidR="00B83D88" w:rsidRDefault="00B83D88">
          <w:pPr>
            <w:pStyle w:val="TM1"/>
            <w:tabs>
              <w:tab w:val="left" w:pos="720"/>
              <w:tab w:val="right" w:leader="dot" w:pos="9628"/>
            </w:tabs>
            <w:rPr>
              <w:rFonts w:eastAsiaTheme="minorEastAsia"/>
              <w:noProof/>
              <w:sz w:val="24"/>
              <w:szCs w:val="24"/>
              <w:lang w:eastAsia="fr-FR"/>
            </w:rPr>
          </w:pPr>
          <w:hyperlink w:anchor="_Toc190960116" w:history="1">
            <w:r w:rsidRPr="008E737B">
              <w:rPr>
                <w:rStyle w:val="Lienhypertexte"/>
                <w:rFonts w:ascii="Georgia" w:hAnsi="Georgia"/>
                <w:b/>
                <w:bCs/>
                <w:noProof/>
              </w:rPr>
              <w:t>A.</w:t>
            </w:r>
            <w:r>
              <w:rPr>
                <w:rFonts w:eastAsiaTheme="minorEastAsia"/>
                <w:noProof/>
                <w:sz w:val="24"/>
                <w:szCs w:val="24"/>
                <w:lang w:eastAsia="fr-FR"/>
              </w:rPr>
              <w:tab/>
            </w:r>
            <w:r w:rsidRPr="008E737B">
              <w:rPr>
                <w:rStyle w:val="Lienhypertexte"/>
                <w:rFonts w:ascii="Georgia" w:hAnsi="Georgia"/>
                <w:b/>
                <w:bCs/>
                <w:noProof/>
              </w:rPr>
              <w:t>Objets de la modification simplifiée et évolutions envisagées</w:t>
            </w:r>
            <w:r>
              <w:rPr>
                <w:noProof/>
                <w:webHidden/>
              </w:rPr>
              <w:tab/>
            </w:r>
            <w:r>
              <w:rPr>
                <w:noProof/>
                <w:webHidden/>
              </w:rPr>
              <w:fldChar w:fldCharType="begin"/>
            </w:r>
            <w:r>
              <w:rPr>
                <w:noProof/>
                <w:webHidden/>
              </w:rPr>
              <w:instrText xml:space="preserve"> PAGEREF _Toc190960116 \h </w:instrText>
            </w:r>
            <w:r>
              <w:rPr>
                <w:noProof/>
                <w:webHidden/>
              </w:rPr>
            </w:r>
            <w:r>
              <w:rPr>
                <w:noProof/>
                <w:webHidden/>
              </w:rPr>
              <w:fldChar w:fldCharType="separate"/>
            </w:r>
            <w:r w:rsidR="0040286D">
              <w:rPr>
                <w:noProof/>
                <w:webHidden/>
              </w:rPr>
              <w:t>5</w:t>
            </w:r>
            <w:r>
              <w:rPr>
                <w:noProof/>
                <w:webHidden/>
              </w:rPr>
              <w:fldChar w:fldCharType="end"/>
            </w:r>
          </w:hyperlink>
        </w:p>
        <w:p w14:paraId="69F67786" w14:textId="07356B69" w:rsidR="00B83D88" w:rsidRDefault="00B83D88">
          <w:pPr>
            <w:pStyle w:val="TM2"/>
            <w:tabs>
              <w:tab w:val="left" w:pos="720"/>
              <w:tab w:val="right" w:leader="dot" w:pos="9628"/>
            </w:tabs>
            <w:rPr>
              <w:rFonts w:eastAsiaTheme="minorEastAsia"/>
              <w:noProof/>
              <w:sz w:val="24"/>
              <w:szCs w:val="24"/>
              <w:lang w:eastAsia="fr-FR"/>
            </w:rPr>
          </w:pPr>
          <w:hyperlink w:anchor="_Toc190960117" w:history="1">
            <w:r w:rsidRPr="008E737B">
              <w:rPr>
                <w:rStyle w:val="Lienhypertexte"/>
                <w:rFonts w:ascii="Georgia" w:hAnsi="Georgia"/>
                <w:b/>
                <w:bCs/>
                <w:noProof/>
              </w:rPr>
              <w:t>1)</w:t>
            </w:r>
            <w:r>
              <w:rPr>
                <w:rFonts w:eastAsiaTheme="minorEastAsia"/>
                <w:noProof/>
                <w:sz w:val="24"/>
                <w:szCs w:val="24"/>
                <w:lang w:eastAsia="fr-FR"/>
              </w:rPr>
              <w:tab/>
            </w:r>
            <w:r w:rsidRPr="008E737B">
              <w:rPr>
                <w:rStyle w:val="Lienhypertexte"/>
                <w:rFonts w:ascii="Georgia" w:hAnsi="Georgia"/>
                <w:b/>
                <w:bCs/>
                <w:noProof/>
              </w:rPr>
              <w:t>Modification du règlement écrit</w:t>
            </w:r>
            <w:r>
              <w:rPr>
                <w:noProof/>
                <w:webHidden/>
              </w:rPr>
              <w:tab/>
            </w:r>
            <w:r>
              <w:rPr>
                <w:noProof/>
                <w:webHidden/>
              </w:rPr>
              <w:fldChar w:fldCharType="begin"/>
            </w:r>
            <w:r>
              <w:rPr>
                <w:noProof/>
                <w:webHidden/>
              </w:rPr>
              <w:instrText xml:space="preserve"> PAGEREF _Toc190960117 \h </w:instrText>
            </w:r>
            <w:r>
              <w:rPr>
                <w:noProof/>
                <w:webHidden/>
              </w:rPr>
            </w:r>
            <w:r>
              <w:rPr>
                <w:noProof/>
                <w:webHidden/>
              </w:rPr>
              <w:fldChar w:fldCharType="separate"/>
            </w:r>
            <w:r w:rsidR="0040286D">
              <w:rPr>
                <w:noProof/>
                <w:webHidden/>
              </w:rPr>
              <w:t>5</w:t>
            </w:r>
            <w:r>
              <w:rPr>
                <w:noProof/>
                <w:webHidden/>
              </w:rPr>
              <w:fldChar w:fldCharType="end"/>
            </w:r>
          </w:hyperlink>
        </w:p>
        <w:p w14:paraId="2F544E63" w14:textId="1C4A4B45" w:rsidR="00B83D88" w:rsidRDefault="00B83D88">
          <w:pPr>
            <w:pStyle w:val="TM3"/>
            <w:tabs>
              <w:tab w:val="left" w:pos="960"/>
              <w:tab w:val="right" w:leader="dot" w:pos="9628"/>
            </w:tabs>
            <w:rPr>
              <w:rFonts w:eastAsiaTheme="minorEastAsia"/>
              <w:noProof/>
              <w:sz w:val="24"/>
              <w:szCs w:val="24"/>
              <w:lang w:eastAsia="fr-FR"/>
            </w:rPr>
          </w:pPr>
          <w:hyperlink w:anchor="_Toc190960118" w:history="1">
            <w:r w:rsidRPr="008E737B">
              <w:rPr>
                <w:rStyle w:val="Lienhypertexte"/>
                <w:rFonts w:ascii="Georgia" w:hAnsi="Georgia"/>
                <w:noProof/>
              </w:rPr>
              <w:t>a)</w:t>
            </w:r>
            <w:r>
              <w:rPr>
                <w:rFonts w:eastAsiaTheme="minorEastAsia"/>
                <w:noProof/>
                <w:sz w:val="24"/>
                <w:szCs w:val="24"/>
                <w:lang w:eastAsia="fr-FR"/>
              </w:rPr>
              <w:tab/>
            </w:r>
            <w:r w:rsidRPr="008E737B">
              <w:rPr>
                <w:rStyle w:val="Lienhypertexte"/>
                <w:rFonts w:ascii="Georgia" w:hAnsi="Georgia"/>
                <w:noProof/>
              </w:rPr>
              <w:t>Précision de la règle en matière de limitation de certains usages et d’affectations des sols dans les zones Nt1, Nt2 et Na</w:t>
            </w:r>
            <w:r>
              <w:rPr>
                <w:noProof/>
                <w:webHidden/>
              </w:rPr>
              <w:tab/>
            </w:r>
            <w:r>
              <w:rPr>
                <w:noProof/>
                <w:webHidden/>
              </w:rPr>
              <w:fldChar w:fldCharType="begin"/>
            </w:r>
            <w:r>
              <w:rPr>
                <w:noProof/>
                <w:webHidden/>
              </w:rPr>
              <w:instrText xml:space="preserve"> PAGEREF _Toc190960118 \h </w:instrText>
            </w:r>
            <w:r>
              <w:rPr>
                <w:noProof/>
                <w:webHidden/>
              </w:rPr>
            </w:r>
            <w:r>
              <w:rPr>
                <w:noProof/>
                <w:webHidden/>
              </w:rPr>
              <w:fldChar w:fldCharType="separate"/>
            </w:r>
            <w:r w:rsidR="0040286D">
              <w:rPr>
                <w:noProof/>
                <w:webHidden/>
              </w:rPr>
              <w:t>5</w:t>
            </w:r>
            <w:r>
              <w:rPr>
                <w:noProof/>
                <w:webHidden/>
              </w:rPr>
              <w:fldChar w:fldCharType="end"/>
            </w:r>
          </w:hyperlink>
        </w:p>
        <w:p w14:paraId="504FE55C" w14:textId="65E9260D" w:rsidR="00B83D88" w:rsidRDefault="00B83D88">
          <w:pPr>
            <w:pStyle w:val="TM1"/>
            <w:tabs>
              <w:tab w:val="left" w:pos="720"/>
              <w:tab w:val="right" w:leader="dot" w:pos="9628"/>
            </w:tabs>
            <w:rPr>
              <w:rFonts w:eastAsiaTheme="minorEastAsia"/>
              <w:noProof/>
              <w:sz w:val="24"/>
              <w:szCs w:val="24"/>
              <w:lang w:eastAsia="fr-FR"/>
            </w:rPr>
          </w:pPr>
          <w:hyperlink w:anchor="_Toc190960119" w:history="1">
            <w:r w:rsidRPr="008E737B">
              <w:rPr>
                <w:rStyle w:val="Lienhypertexte"/>
                <w:rFonts w:ascii="Georgia" w:hAnsi="Georgia"/>
                <w:b/>
                <w:bCs/>
                <w:noProof/>
              </w:rPr>
              <w:t>B.</w:t>
            </w:r>
            <w:r>
              <w:rPr>
                <w:rFonts w:eastAsiaTheme="minorEastAsia"/>
                <w:noProof/>
                <w:sz w:val="24"/>
                <w:szCs w:val="24"/>
                <w:lang w:eastAsia="fr-FR"/>
              </w:rPr>
              <w:tab/>
            </w:r>
            <w:r w:rsidRPr="008E737B">
              <w:rPr>
                <w:rStyle w:val="Lienhypertexte"/>
                <w:rFonts w:ascii="Georgia" w:hAnsi="Georgia"/>
                <w:b/>
                <w:bCs/>
                <w:noProof/>
              </w:rPr>
              <w:t>Etat Initial de l’Environnement</w:t>
            </w:r>
            <w:r>
              <w:rPr>
                <w:noProof/>
                <w:webHidden/>
              </w:rPr>
              <w:tab/>
            </w:r>
            <w:r>
              <w:rPr>
                <w:noProof/>
                <w:webHidden/>
              </w:rPr>
              <w:fldChar w:fldCharType="begin"/>
            </w:r>
            <w:r>
              <w:rPr>
                <w:noProof/>
                <w:webHidden/>
              </w:rPr>
              <w:instrText xml:space="preserve"> PAGEREF _Toc190960119 \h </w:instrText>
            </w:r>
            <w:r>
              <w:rPr>
                <w:noProof/>
                <w:webHidden/>
              </w:rPr>
            </w:r>
            <w:r>
              <w:rPr>
                <w:noProof/>
                <w:webHidden/>
              </w:rPr>
              <w:fldChar w:fldCharType="separate"/>
            </w:r>
            <w:r w:rsidR="0040286D">
              <w:rPr>
                <w:noProof/>
                <w:webHidden/>
              </w:rPr>
              <w:t>7</w:t>
            </w:r>
            <w:r>
              <w:rPr>
                <w:noProof/>
                <w:webHidden/>
              </w:rPr>
              <w:fldChar w:fldCharType="end"/>
            </w:r>
          </w:hyperlink>
        </w:p>
        <w:p w14:paraId="241ED982" w14:textId="21D02D83" w:rsidR="00B83D88" w:rsidRDefault="00B83D88">
          <w:pPr>
            <w:pStyle w:val="TM1"/>
            <w:tabs>
              <w:tab w:val="left" w:pos="720"/>
              <w:tab w:val="right" w:leader="dot" w:pos="9628"/>
            </w:tabs>
            <w:rPr>
              <w:rFonts w:eastAsiaTheme="minorEastAsia"/>
              <w:noProof/>
              <w:sz w:val="24"/>
              <w:szCs w:val="24"/>
              <w:lang w:eastAsia="fr-FR"/>
            </w:rPr>
          </w:pPr>
          <w:hyperlink w:anchor="_Toc190960120" w:history="1">
            <w:r w:rsidRPr="008E737B">
              <w:rPr>
                <w:rStyle w:val="Lienhypertexte"/>
                <w:rFonts w:ascii="Georgia" w:eastAsia="Calibri" w:hAnsi="Georgia"/>
                <w:b/>
                <w:bCs/>
                <w:noProof/>
              </w:rPr>
              <w:t>C.</w:t>
            </w:r>
            <w:r>
              <w:rPr>
                <w:rFonts w:eastAsiaTheme="minorEastAsia"/>
                <w:noProof/>
                <w:sz w:val="24"/>
                <w:szCs w:val="24"/>
                <w:lang w:eastAsia="fr-FR"/>
              </w:rPr>
              <w:tab/>
            </w:r>
            <w:r w:rsidRPr="008E737B">
              <w:rPr>
                <w:rStyle w:val="Lienhypertexte"/>
                <w:rFonts w:ascii="Georgia" w:eastAsia="Calibri" w:hAnsi="Georgia"/>
                <w:b/>
                <w:bCs/>
                <w:noProof/>
              </w:rPr>
              <w:t>Analyse des incidences de la modification simplifiée sur l’environnement et sur les sites Natura 2000</w:t>
            </w:r>
            <w:r>
              <w:rPr>
                <w:noProof/>
                <w:webHidden/>
              </w:rPr>
              <w:tab/>
            </w:r>
            <w:r>
              <w:rPr>
                <w:noProof/>
                <w:webHidden/>
              </w:rPr>
              <w:fldChar w:fldCharType="begin"/>
            </w:r>
            <w:r>
              <w:rPr>
                <w:noProof/>
                <w:webHidden/>
              </w:rPr>
              <w:instrText xml:space="preserve"> PAGEREF _Toc190960120 \h </w:instrText>
            </w:r>
            <w:r>
              <w:rPr>
                <w:noProof/>
                <w:webHidden/>
              </w:rPr>
            </w:r>
            <w:r>
              <w:rPr>
                <w:noProof/>
                <w:webHidden/>
              </w:rPr>
              <w:fldChar w:fldCharType="separate"/>
            </w:r>
            <w:r w:rsidR="0040286D">
              <w:rPr>
                <w:noProof/>
                <w:webHidden/>
              </w:rPr>
              <w:t>16</w:t>
            </w:r>
            <w:r>
              <w:rPr>
                <w:noProof/>
                <w:webHidden/>
              </w:rPr>
              <w:fldChar w:fldCharType="end"/>
            </w:r>
          </w:hyperlink>
        </w:p>
        <w:p w14:paraId="5DCC4365" w14:textId="4E8B16F5" w:rsidR="00A56327" w:rsidRDefault="00A56327">
          <w:r>
            <w:rPr>
              <w:b/>
              <w:bCs/>
            </w:rPr>
            <w:fldChar w:fldCharType="end"/>
          </w:r>
        </w:p>
      </w:sdtContent>
    </w:sdt>
    <w:p w14:paraId="57870B05" w14:textId="1D527D04" w:rsidR="002B7515" w:rsidRPr="00A56327" w:rsidRDefault="002B7515" w:rsidP="002B7515">
      <w:pPr>
        <w:rPr>
          <w:rFonts w:ascii="Georgia" w:hAnsi="Georgia"/>
        </w:rPr>
      </w:pPr>
    </w:p>
    <w:p w14:paraId="048B0F02" w14:textId="65CB62CB" w:rsidR="002B7515" w:rsidRPr="00A56327" w:rsidRDefault="002B7515">
      <w:pPr>
        <w:rPr>
          <w:rFonts w:ascii="Georgia" w:hAnsi="Georgia"/>
        </w:rPr>
      </w:pPr>
      <w:r w:rsidRPr="00A56327">
        <w:rPr>
          <w:rFonts w:ascii="Georgia" w:hAnsi="Georgia"/>
        </w:rPr>
        <w:br w:type="page"/>
      </w:r>
    </w:p>
    <w:p w14:paraId="4699DFE2" w14:textId="353F40F1" w:rsidR="002B7515" w:rsidRPr="003C4C29" w:rsidRDefault="002B7515" w:rsidP="00A56327">
      <w:pPr>
        <w:pStyle w:val="Titre1"/>
        <w:rPr>
          <w:rFonts w:ascii="Georgia" w:hAnsi="Georgia"/>
          <w:color w:val="00B0F0"/>
          <w:sz w:val="28"/>
          <w:szCs w:val="28"/>
          <w:u w:val="single"/>
        </w:rPr>
      </w:pPr>
      <w:bookmarkStart w:id="0" w:name="_Toc190960115"/>
      <w:r w:rsidRPr="003C4C29">
        <w:rPr>
          <w:rFonts w:ascii="Georgia" w:hAnsi="Georgia"/>
          <w:color w:val="00B0F0"/>
          <w:sz w:val="28"/>
          <w:szCs w:val="28"/>
          <w:u w:val="single"/>
        </w:rPr>
        <w:t>Préambule</w:t>
      </w:r>
      <w:bookmarkEnd w:id="0"/>
      <w:r w:rsidRPr="003C4C29">
        <w:rPr>
          <w:rFonts w:ascii="Georgia" w:hAnsi="Georgia"/>
          <w:color w:val="00B0F0"/>
          <w:sz w:val="28"/>
          <w:szCs w:val="28"/>
          <w:u w:val="single"/>
        </w:rPr>
        <w:t xml:space="preserve"> </w:t>
      </w:r>
    </w:p>
    <w:p w14:paraId="1D68151D" w14:textId="77777777" w:rsidR="00C613A7" w:rsidRDefault="00C613A7" w:rsidP="00A56327">
      <w:pPr>
        <w:pStyle w:val="Corpsdetexte"/>
        <w:jc w:val="both"/>
        <w:rPr>
          <w:rFonts w:ascii="Georgia" w:hAnsi="Georgia"/>
          <w:sz w:val="22"/>
        </w:rPr>
      </w:pPr>
    </w:p>
    <w:p w14:paraId="678DE4F1" w14:textId="583E83C4" w:rsidR="00A56327" w:rsidRPr="00C613A7" w:rsidRDefault="00A56327" w:rsidP="00A56327">
      <w:pPr>
        <w:pStyle w:val="Corpsdetexte"/>
        <w:jc w:val="both"/>
        <w:rPr>
          <w:rFonts w:ascii="Georgia" w:hAnsi="Georgia"/>
          <w:sz w:val="22"/>
        </w:rPr>
      </w:pPr>
      <w:r w:rsidRPr="00C613A7">
        <w:rPr>
          <w:rFonts w:ascii="Georgia" w:hAnsi="Georgia"/>
          <w:sz w:val="22"/>
        </w:rPr>
        <w:t xml:space="preserve">Le Plan Local d’Urbanisme intercommunal (PLUi) </w:t>
      </w:r>
      <w:r w:rsidR="00862F22">
        <w:rPr>
          <w:rFonts w:ascii="Georgia" w:hAnsi="Georgia"/>
          <w:sz w:val="22"/>
        </w:rPr>
        <w:t>du Pays d’</w:t>
      </w:r>
      <w:proofErr w:type="spellStart"/>
      <w:r w:rsidR="00862F22">
        <w:rPr>
          <w:rFonts w:ascii="Georgia" w:hAnsi="Georgia"/>
          <w:sz w:val="22"/>
        </w:rPr>
        <w:t>Orthe</w:t>
      </w:r>
      <w:proofErr w:type="spellEnd"/>
      <w:r w:rsidRPr="00C613A7">
        <w:rPr>
          <w:rFonts w:ascii="Georgia" w:hAnsi="Georgia"/>
          <w:sz w:val="22"/>
        </w:rPr>
        <w:t xml:space="preserve"> a été approuvé par le Conseil communautaire le 3 mars 2020. Dans le cadre de son élaboration, le PLUi a fait l’objet d’une évaluation environnementale. </w:t>
      </w:r>
    </w:p>
    <w:p w14:paraId="4994D7E7" w14:textId="7E2230D8" w:rsidR="00A56327" w:rsidRPr="00C613A7" w:rsidRDefault="00A56327" w:rsidP="00A56327">
      <w:pPr>
        <w:pStyle w:val="Corpsdetexte"/>
        <w:jc w:val="both"/>
        <w:rPr>
          <w:rFonts w:ascii="Georgia" w:hAnsi="Georgia"/>
          <w:sz w:val="22"/>
        </w:rPr>
      </w:pPr>
      <w:bookmarkStart w:id="1" w:name="_Hlk136249714"/>
      <w:r w:rsidRPr="00C613A7">
        <w:rPr>
          <w:rFonts w:ascii="Georgia" w:hAnsi="Georgia"/>
          <w:sz w:val="22"/>
        </w:rPr>
        <w:t>Nécessitant quelques ajustements,</w:t>
      </w:r>
      <w:r w:rsidR="00C613A7" w:rsidRPr="00C613A7">
        <w:rPr>
          <w:rFonts w:ascii="Georgia" w:hAnsi="Georgia"/>
          <w:sz w:val="22"/>
        </w:rPr>
        <w:t xml:space="preserve"> deux procédures </w:t>
      </w:r>
      <w:r w:rsidRPr="00C613A7">
        <w:rPr>
          <w:rFonts w:ascii="Georgia" w:hAnsi="Georgia"/>
          <w:sz w:val="22"/>
        </w:rPr>
        <w:t>de modification</w:t>
      </w:r>
      <w:r w:rsidR="00C613A7" w:rsidRPr="00C613A7">
        <w:rPr>
          <w:rFonts w:ascii="Georgia" w:hAnsi="Georgia"/>
          <w:sz w:val="22"/>
        </w:rPr>
        <w:t>s</w:t>
      </w:r>
      <w:r w:rsidRPr="00C613A7">
        <w:rPr>
          <w:rFonts w:ascii="Georgia" w:hAnsi="Georgia"/>
          <w:sz w:val="22"/>
        </w:rPr>
        <w:t xml:space="preserve"> simplifiée</w:t>
      </w:r>
      <w:r w:rsidR="00C613A7" w:rsidRPr="00C613A7">
        <w:rPr>
          <w:rFonts w:ascii="Georgia" w:hAnsi="Georgia"/>
          <w:sz w:val="22"/>
        </w:rPr>
        <w:t>s</w:t>
      </w:r>
      <w:r w:rsidRPr="00C613A7">
        <w:rPr>
          <w:rFonts w:ascii="Georgia" w:hAnsi="Georgia"/>
          <w:sz w:val="22"/>
        </w:rPr>
        <w:t xml:space="preserve"> </w:t>
      </w:r>
      <w:r w:rsidR="00C613A7" w:rsidRPr="00C613A7">
        <w:rPr>
          <w:rFonts w:ascii="Georgia" w:hAnsi="Georgia"/>
          <w:sz w:val="22"/>
        </w:rPr>
        <w:t xml:space="preserve">ont </w:t>
      </w:r>
      <w:r w:rsidRPr="00C613A7">
        <w:rPr>
          <w:rFonts w:ascii="Georgia" w:hAnsi="Georgia"/>
          <w:sz w:val="22"/>
        </w:rPr>
        <w:t>d’ores et déjà été réalisées. C</w:t>
      </w:r>
      <w:r w:rsidR="00C613A7" w:rsidRPr="00C613A7">
        <w:rPr>
          <w:rFonts w:ascii="Georgia" w:hAnsi="Georgia"/>
          <w:sz w:val="22"/>
        </w:rPr>
        <w:t>es</w:t>
      </w:r>
      <w:r w:rsidRPr="00C613A7">
        <w:rPr>
          <w:rFonts w:ascii="Georgia" w:hAnsi="Georgia"/>
          <w:sz w:val="22"/>
        </w:rPr>
        <w:t xml:space="preserve"> dernière</w:t>
      </w:r>
      <w:r w:rsidR="00C613A7" w:rsidRPr="00C613A7">
        <w:rPr>
          <w:rFonts w:ascii="Georgia" w:hAnsi="Georgia"/>
          <w:sz w:val="22"/>
        </w:rPr>
        <w:t>s</w:t>
      </w:r>
      <w:r w:rsidRPr="00C613A7">
        <w:rPr>
          <w:rFonts w:ascii="Georgia" w:hAnsi="Georgia"/>
          <w:sz w:val="22"/>
        </w:rPr>
        <w:t xml:space="preserve"> n’</w:t>
      </w:r>
      <w:r w:rsidR="00C613A7" w:rsidRPr="00C613A7">
        <w:rPr>
          <w:rFonts w:ascii="Georgia" w:hAnsi="Georgia"/>
          <w:sz w:val="22"/>
        </w:rPr>
        <w:t>ont</w:t>
      </w:r>
      <w:r w:rsidRPr="00C613A7">
        <w:rPr>
          <w:rFonts w:ascii="Georgia" w:hAnsi="Georgia"/>
          <w:sz w:val="22"/>
        </w:rPr>
        <w:t xml:space="preserve"> en revanche pas été soumise</w:t>
      </w:r>
      <w:r w:rsidR="00C613A7" w:rsidRPr="00C613A7">
        <w:rPr>
          <w:rFonts w:ascii="Georgia" w:hAnsi="Georgia"/>
          <w:sz w:val="22"/>
        </w:rPr>
        <w:t>s</w:t>
      </w:r>
      <w:r w:rsidRPr="00C613A7">
        <w:rPr>
          <w:rFonts w:ascii="Georgia" w:hAnsi="Georgia"/>
          <w:sz w:val="22"/>
        </w:rPr>
        <w:t xml:space="preserve"> à évaluation environnementale </w:t>
      </w:r>
      <w:r w:rsidR="00350B43" w:rsidRPr="00C613A7">
        <w:rPr>
          <w:rFonts w:ascii="Georgia" w:hAnsi="Georgia"/>
          <w:sz w:val="22"/>
        </w:rPr>
        <w:t>à la suite d</w:t>
      </w:r>
      <w:r w:rsidR="00350B43">
        <w:rPr>
          <w:rFonts w:ascii="Georgia" w:hAnsi="Georgia"/>
          <w:sz w:val="22"/>
        </w:rPr>
        <w:t>e l</w:t>
      </w:r>
      <w:r w:rsidR="00350B43" w:rsidRPr="00C613A7">
        <w:rPr>
          <w:rFonts w:ascii="Georgia" w:hAnsi="Georgia"/>
          <w:sz w:val="22"/>
        </w:rPr>
        <w:t>’examen</w:t>
      </w:r>
      <w:r w:rsidRPr="00C613A7">
        <w:rPr>
          <w:rFonts w:ascii="Georgia" w:hAnsi="Georgia"/>
          <w:sz w:val="22"/>
        </w:rPr>
        <w:t xml:space="preserve"> au cas par cas</w:t>
      </w:r>
      <w:r w:rsidR="00C613A7" w:rsidRPr="00C613A7">
        <w:rPr>
          <w:rFonts w:ascii="Georgia" w:hAnsi="Georgia"/>
          <w:sz w:val="22"/>
        </w:rPr>
        <w:t xml:space="preserve"> de la </w:t>
      </w:r>
      <w:proofErr w:type="spellStart"/>
      <w:r w:rsidR="00C613A7" w:rsidRPr="00C613A7">
        <w:rPr>
          <w:rFonts w:ascii="Georgia" w:hAnsi="Georgia"/>
          <w:sz w:val="22"/>
        </w:rPr>
        <w:t>MRAe</w:t>
      </w:r>
      <w:proofErr w:type="spellEnd"/>
      <w:r w:rsidR="00C613A7" w:rsidRPr="00C613A7">
        <w:rPr>
          <w:rFonts w:ascii="Georgia" w:hAnsi="Georgia"/>
          <w:sz w:val="22"/>
        </w:rPr>
        <w:t>.</w:t>
      </w:r>
    </w:p>
    <w:p w14:paraId="6E2B9766" w14:textId="2059E60C" w:rsidR="00A56327" w:rsidRPr="00C613A7" w:rsidRDefault="00A56327" w:rsidP="00C613A7">
      <w:pPr>
        <w:pStyle w:val="Corpsdetexte"/>
        <w:spacing w:after="0"/>
        <w:jc w:val="both"/>
        <w:rPr>
          <w:rFonts w:ascii="Georgia" w:hAnsi="Georgia"/>
          <w:sz w:val="22"/>
        </w:rPr>
      </w:pPr>
      <w:r w:rsidRPr="00C613A7">
        <w:rPr>
          <w:rFonts w:ascii="Georgia" w:hAnsi="Georgia"/>
          <w:sz w:val="22"/>
        </w:rPr>
        <w:t xml:space="preserve">Depuis, l’application du PLUi a révélé la nécessité de le faire évoluer de nouveau pour intégrer </w:t>
      </w:r>
      <w:r w:rsidR="00C613A7" w:rsidRPr="00C613A7">
        <w:rPr>
          <w:rFonts w:ascii="Georgia" w:hAnsi="Georgia"/>
          <w:sz w:val="22"/>
        </w:rPr>
        <w:t>l’adaptation suivante</w:t>
      </w:r>
      <w:r w:rsidRPr="00C613A7">
        <w:rPr>
          <w:rFonts w:ascii="Georgia" w:hAnsi="Georgia"/>
          <w:sz w:val="22"/>
        </w:rPr>
        <w:t> :</w:t>
      </w:r>
    </w:p>
    <w:p w14:paraId="1E27561C" w14:textId="77777777" w:rsidR="00A56327" w:rsidRPr="00C613A7" w:rsidRDefault="00A56327" w:rsidP="00C613A7">
      <w:pPr>
        <w:pStyle w:val="Corpsdetexte"/>
        <w:numPr>
          <w:ilvl w:val="0"/>
          <w:numId w:val="7"/>
        </w:numPr>
        <w:spacing w:after="0"/>
        <w:jc w:val="both"/>
        <w:rPr>
          <w:rFonts w:ascii="Georgia" w:hAnsi="Georgia"/>
          <w:sz w:val="22"/>
        </w:rPr>
      </w:pPr>
      <w:bookmarkStart w:id="2" w:name="_Hlk136250799"/>
      <w:bookmarkEnd w:id="1"/>
      <w:r w:rsidRPr="00C613A7">
        <w:rPr>
          <w:rFonts w:ascii="Georgia" w:hAnsi="Georgia"/>
          <w:sz w:val="22"/>
        </w:rPr>
        <w:t>Prise en compte de demande de communes ou pétitionnaires :</w:t>
      </w:r>
    </w:p>
    <w:p w14:paraId="7D3196F4" w14:textId="4D09AF9D" w:rsidR="00A56327" w:rsidRPr="00C613A7" w:rsidRDefault="00C613A7" w:rsidP="00A56327">
      <w:pPr>
        <w:pStyle w:val="Corpsdetexte"/>
        <w:numPr>
          <w:ilvl w:val="1"/>
          <w:numId w:val="7"/>
        </w:numPr>
        <w:jc w:val="both"/>
        <w:rPr>
          <w:rFonts w:ascii="Georgia" w:hAnsi="Georgia"/>
          <w:sz w:val="22"/>
        </w:rPr>
      </w:pPr>
      <w:bookmarkStart w:id="3" w:name="_Hlk136250351"/>
      <w:bookmarkEnd w:id="2"/>
      <w:r w:rsidRPr="00C613A7">
        <w:rPr>
          <w:rFonts w:ascii="Georgia" w:hAnsi="Georgia"/>
          <w:sz w:val="22"/>
        </w:rPr>
        <w:t>Précision de la règle en matière de limitation de certains usages et d’affectations des sols dans la zone</w:t>
      </w:r>
      <w:bookmarkEnd w:id="3"/>
      <w:r w:rsidRPr="00C613A7">
        <w:rPr>
          <w:rFonts w:ascii="Georgia" w:hAnsi="Georgia"/>
          <w:sz w:val="22"/>
        </w:rPr>
        <w:t xml:space="preserve"> Nt</w:t>
      </w:r>
      <w:r w:rsidR="00C935D9">
        <w:rPr>
          <w:rFonts w:ascii="Georgia" w:hAnsi="Georgia"/>
          <w:sz w:val="22"/>
        </w:rPr>
        <w:t>1</w:t>
      </w:r>
      <w:r w:rsidR="00350B43">
        <w:rPr>
          <w:rFonts w:ascii="Georgia" w:hAnsi="Georgia"/>
          <w:sz w:val="22"/>
        </w:rPr>
        <w:t>, Nt</w:t>
      </w:r>
      <w:r w:rsidR="00C935D9">
        <w:rPr>
          <w:rFonts w:ascii="Georgia" w:hAnsi="Georgia"/>
          <w:sz w:val="22"/>
        </w:rPr>
        <w:t>2</w:t>
      </w:r>
      <w:r w:rsidR="00350B43">
        <w:rPr>
          <w:rFonts w:ascii="Georgia" w:hAnsi="Georgia"/>
          <w:sz w:val="22"/>
        </w:rPr>
        <w:t xml:space="preserve"> et Na</w:t>
      </w:r>
      <w:r w:rsidRPr="00C613A7">
        <w:rPr>
          <w:rFonts w:ascii="Georgia" w:hAnsi="Georgia"/>
          <w:sz w:val="22"/>
        </w:rPr>
        <w:t xml:space="preserve">. </w:t>
      </w:r>
    </w:p>
    <w:p w14:paraId="727916A2" w14:textId="77375391" w:rsidR="00A56327" w:rsidRPr="00C613A7" w:rsidRDefault="00A56327" w:rsidP="00A56327">
      <w:pPr>
        <w:pStyle w:val="Corpsdetexte"/>
        <w:jc w:val="both"/>
        <w:rPr>
          <w:rFonts w:ascii="Georgia" w:hAnsi="Georgia"/>
          <w:sz w:val="22"/>
        </w:rPr>
      </w:pPr>
      <w:r w:rsidRPr="00C613A7">
        <w:rPr>
          <w:rFonts w:ascii="Georgia" w:hAnsi="Georgia"/>
          <w:sz w:val="22"/>
        </w:rPr>
        <w:t xml:space="preserve">Au regard </w:t>
      </w:r>
      <w:r w:rsidR="00C613A7" w:rsidRPr="00C613A7">
        <w:rPr>
          <w:rFonts w:ascii="Georgia" w:hAnsi="Georgia"/>
          <w:sz w:val="22"/>
        </w:rPr>
        <w:t>de l’évolution souhaitée</w:t>
      </w:r>
      <w:r w:rsidRPr="00C613A7">
        <w:rPr>
          <w:rFonts w:ascii="Georgia" w:hAnsi="Georgia"/>
          <w:sz w:val="22"/>
        </w:rPr>
        <w:t xml:space="preserve">, le PLUi </w:t>
      </w:r>
      <w:r w:rsidR="00862F22">
        <w:rPr>
          <w:rFonts w:ascii="Georgia" w:hAnsi="Georgia"/>
          <w:sz w:val="22"/>
        </w:rPr>
        <w:t>du Pays d’</w:t>
      </w:r>
      <w:proofErr w:type="spellStart"/>
      <w:r w:rsidR="00862F22">
        <w:rPr>
          <w:rFonts w:ascii="Georgia" w:hAnsi="Georgia"/>
          <w:sz w:val="22"/>
        </w:rPr>
        <w:t>Orthe</w:t>
      </w:r>
      <w:proofErr w:type="spellEnd"/>
      <w:r w:rsidRPr="00C613A7">
        <w:rPr>
          <w:rFonts w:ascii="Georgia" w:hAnsi="Georgia"/>
          <w:sz w:val="22"/>
        </w:rPr>
        <w:t xml:space="preserve">, fait donc l’objet d’une </w:t>
      </w:r>
      <w:r w:rsidR="00C613A7" w:rsidRPr="00C613A7">
        <w:rPr>
          <w:rFonts w:ascii="Georgia" w:hAnsi="Georgia"/>
          <w:sz w:val="22"/>
        </w:rPr>
        <w:t>troisième</w:t>
      </w:r>
      <w:r w:rsidRPr="00C613A7">
        <w:rPr>
          <w:rFonts w:ascii="Georgia" w:hAnsi="Georgia"/>
          <w:sz w:val="22"/>
        </w:rPr>
        <w:t xml:space="preserve"> modification simplifiée.</w:t>
      </w:r>
    </w:p>
    <w:p w14:paraId="10CD22F0" w14:textId="77777777" w:rsidR="00C613A7" w:rsidRDefault="00C613A7" w:rsidP="00A56327">
      <w:pPr>
        <w:pStyle w:val="Corpsdetexte"/>
        <w:jc w:val="both"/>
        <w:rPr>
          <w:rFonts w:ascii="Georgia" w:hAnsi="Georgia"/>
          <w:sz w:val="22"/>
        </w:rPr>
      </w:pPr>
    </w:p>
    <w:p w14:paraId="2A6638C4" w14:textId="3CFEAA04" w:rsidR="00A56327" w:rsidRPr="00C613A7" w:rsidRDefault="00A56327" w:rsidP="00A56327">
      <w:pPr>
        <w:pStyle w:val="Corpsdetexte"/>
        <w:jc w:val="both"/>
        <w:rPr>
          <w:rFonts w:ascii="Georgia" w:hAnsi="Georgia"/>
          <w:sz w:val="22"/>
        </w:rPr>
      </w:pPr>
      <w:r w:rsidRPr="00C613A7">
        <w:rPr>
          <w:rFonts w:ascii="Georgia" w:hAnsi="Georgia"/>
          <w:sz w:val="22"/>
        </w:rPr>
        <w:t>La modification simplifiée du PLUi est l’une des procédures d’urbanisme prévue par le code de l’urbanisme pour permettre aux communes ou aux établissements publics de coopération intercommunale (EPCI) dotées d’un document d’urbanisme de le faire évoluer.</w:t>
      </w:r>
    </w:p>
    <w:p w14:paraId="2E9C910B" w14:textId="77777777" w:rsidR="00A56327" w:rsidRPr="00C613A7" w:rsidRDefault="00A56327" w:rsidP="00C613A7">
      <w:pPr>
        <w:pStyle w:val="Corpsdetexte"/>
        <w:spacing w:after="0"/>
        <w:jc w:val="both"/>
        <w:rPr>
          <w:rFonts w:ascii="Georgia" w:hAnsi="Georgia"/>
          <w:sz w:val="22"/>
        </w:rPr>
      </w:pPr>
      <w:r w:rsidRPr="00C613A7">
        <w:rPr>
          <w:rFonts w:ascii="Georgia" w:hAnsi="Georgia"/>
          <w:sz w:val="22"/>
        </w:rPr>
        <w:t>Prévue à l’article L153-45 du Code de l’Urbanisme, la procédure de modification simplifiée est engagée dans les cas où les modifications apportées :</w:t>
      </w:r>
    </w:p>
    <w:p w14:paraId="477524AB" w14:textId="77777777" w:rsidR="00A56327" w:rsidRPr="00C613A7" w:rsidRDefault="00A56327" w:rsidP="00C613A7">
      <w:pPr>
        <w:pStyle w:val="Corpsdetexte"/>
        <w:numPr>
          <w:ilvl w:val="0"/>
          <w:numId w:val="5"/>
        </w:numPr>
        <w:spacing w:after="0"/>
        <w:jc w:val="both"/>
        <w:rPr>
          <w:rFonts w:ascii="Georgia" w:hAnsi="Georgia"/>
          <w:sz w:val="22"/>
        </w:rPr>
      </w:pPr>
      <w:r w:rsidRPr="00C613A7">
        <w:rPr>
          <w:rFonts w:ascii="Georgia" w:hAnsi="Georgia"/>
          <w:sz w:val="22"/>
        </w:rPr>
        <w:t>Ne changent pas les orientations définies par le PADD (champ d'application de la révision),</w:t>
      </w:r>
    </w:p>
    <w:p w14:paraId="740C8D82" w14:textId="77777777" w:rsidR="00A56327" w:rsidRPr="00C613A7" w:rsidRDefault="00A56327" w:rsidP="00C613A7">
      <w:pPr>
        <w:pStyle w:val="Corpsdetexte"/>
        <w:numPr>
          <w:ilvl w:val="0"/>
          <w:numId w:val="5"/>
        </w:numPr>
        <w:spacing w:after="0"/>
        <w:jc w:val="both"/>
        <w:rPr>
          <w:rFonts w:ascii="Georgia" w:hAnsi="Georgia"/>
          <w:sz w:val="22"/>
        </w:rPr>
      </w:pPr>
      <w:r w:rsidRPr="00C613A7">
        <w:rPr>
          <w:rFonts w:ascii="Georgia" w:hAnsi="Georgia"/>
          <w:sz w:val="22"/>
        </w:rPr>
        <w:t>Ne réduit pas un espace boisé classé, une zone agricole ou une zone naturelle et forestière ni une protection édictée en raison des risques de nuisance, de la qualité des sites, du paysage et des milieux naturels, ni comporter de graves risques de nuisances (champ d'application de la révision),</w:t>
      </w:r>
    </w:p>
    <w:p w14:paraId="209DA8D1" w14:textId="77777777" w:rsidR="00A56327" w:rsidRPr="00C613A7" w:rsidRDefault="00A56327" w:rsidP="00A56327">
      <w:pPr>
        <w:pStyle w:val="Corpsdetexte"/>
        <w:numPr>
          <w:ilvl w:val="0"/>
          <w:numId w:val="5"/>
        </w:numPr>
        <w:jc w:val="both"/>
        <w:rPr>
          <w:rFonts w:ascii="Georgia" w:hAnsi="Georgia"/>
          <w:sz w:val="22"/>
        </w:rPr>
      </w:pPr>
      <w:r w:rsidRPr="00C613A7">
        <w:rPr>
          <w:rFonts w:ascii="Georgia" w:hAnsi="Georgia"/>
          <w:sz w:val="22"/>
        </w:rPr>
        <w:t>Ne majore pas de plus de 20% les possibilités de construire résultant dans une zone de l'application de l'ensemble des règles du plan, ne diminue pas les possibilités de construire et ne réduit pas la surface d'une zone urbaine U ou AU (champ d’application de la modification).</w:t>
      </w:r>
    </w:p>
    <w:p w14:paraId="5B6225AD" w14:textId="77777777" w:rsidR="00A56327" w:rsidRPr="00C613A7" w:rsidRDefault="00A56327" w:rsidP="00A56327">
      <w:pPr>
        <w:spacing w:before="200"/>
        <w:jc w:val="both"/>
        <w:rPr>
          <w:rFonts w:ascii="Georgia" w:hAnsi="Georgia"/>
        </w:rPr>
      </w:pPr>
      <w:r w:rsidRPr="00C613A7">
        <w:rPr>
          <w:rFonts w:ascii="Georgia" w:hAnsi="Georgia"/>
          <w:i/>
        </w:rPr>
        <w:t>A noter que les plans locaux d'urbanisme font l'objet d'une évaluation environnementale à l'occasion de leur révision ou modification, s'il est établi, après un examen au cas par cas, que la procédure est susceptible d'avoir des incidences notables sur l'environnement au sens de l'annexe II de la directive 2001/42/CE du Parlement européen et du Conseil du 27 juin 2001 relative à l'évaluation des incidences de certains plans et programmes sur l'environnement.</w:t>
      </w:r>
    </w:p>
    <w:p w14:paraId="0DAD2253" w14:textId="77777777" w:rsidR="00A56327" w:rsidRPr="00C613A7" w:rsidRDefault="00A56327" w:rsidP="00A56327">
      <w:pPr>
        <w:pStyle w:val="Corpsdetexte"/>
        <w:jc w:val="both"/>
        <w:rPr>
          <w:rFonts w:ascii="Georgia" w:hAnsi="Georgia"/>
          <w:sz w:val="22"/>
          <w:highlight w:val="yellow"/>
        </w:rPr>
      </w:pPr>
    </w:p>
    <w:p w14:paraId="460A784F" w14:textId="19AABD0C" w:rsidR="00A56327" w:rsidRPr="00C613A7" w:rsidRDefault="00A56327" w:rsidP="00C613A7">
      <w:pPr>
        <w:pStyle w:val="Corpsdetexte"/>
        <w:spacing w:after="0"/>
        <w:jc w:val="both"/>
        <w:rPr>
          <w:rFonts w:ascii="Georgia" w:hAnsi="Georgia"/>
          <w:sz w:val="22"/>
        </w:rPr>
      </w:pPr>
      <w:r w:rsidRPr="00C613A7">
        <w:rPr>
          <w:rFonts w:ascii="Georgia" w:hAnsi="Georgia"/>
          <w:sz w:val="22"/>
        </w:rPr>
        <w:t xml:space="preserve">Cette modification simplifiée induira une évolution </w:t>
      </w:r>
      <w:r w:rsidR="00C613A7" w:rsidRPr="00C613A7">
        <w:rPr>
          <w:rFonts w:ascii="Georgia" w:hAnsi="Georgia"/>
          <w:sz w:val="22"/>
        </w:rPr>
        <w:t>des pièces suivantes</w:t>
      </w:r>
      <w:r w:rsidRPr="00C613A7">
        <w:rPr>
          <w:rFonts w:ascii="Georgia" w:hAnsi="Georgia"/>
          <w:sz w:val="22"/>
        </w:rPr>
        <w:t> :</w:t>
      </w:r>
    </w:p>
    <w:p w14:paraId="4D74EAF1" w14:textId="641CD1C1" w:rsidR="00A56327" w:rsidRPr="00C613A7" w:rsidRDefault="00A56327" w:rsidP="00A56327">
      <w:pPr>
        <w:pStyle w:val="Corpsdetexte"/>
        <w:numPr>
          <w:ilvl w:val="0"/>
          <w:numId w:val="6"/>
        </w:numPr>
        <w:jc w:val="both"/>
        <w:rPr>
          <w:rFonts w:ascii="Georgia" w:hAnsi="Georgia"/>
          <w:i/>
          <w:sz w:val="22"/>
        </w:rPr>
      </w:pPr>
      <w:r w:rsidRPr="00C613A7">
        <w:rPr>
          <w:rFonts w:ascii="Georgia" w:hAnsi="Georgia"/>
          <w:i/>
          <w:sz w:val="22"/>
        </w:rPr>
        <w:t>Le règlement écrit</w:t>
      </w:r>
      <w:r w:rsidR="00C613A7" w:rsidRPr="00C613A7">
        <w:rPr>
          <w:rFonts w:ascii="Georgia" w:hAnsi="Georgia"/>
          <w:i/>
          <w:sz w:val="22"/>
        </w:rPr>
        <w:t>.</w:t>
      </w:r>
    </w:p>
    <w:p w14:paraId="01C66583" w14:textId="5107E059" w:rsidR="002B7515" w:rsidRPr="00C613A7" w:rsidRDefault="002B7515" w:rsidP="00A56327">
      <w:pPr>
        <w:rPr>
          <w:rFonts w:ascii="Georgia" w:hAnsi="Georgia"/>
        </w:rPr>
      </w:pPr>
      <w:r w:rsidRPr="00C613A7">
        <w:rPr>
          <w:rFonts w:ascii="Georgia" w:hAnsi="Georgia"/>
        </w:rPr>
        <w:br w:type="page"/>
      </w:r>
    </w:p>
    <w:p w14:paraId="6CEE5139" w14:textId="0E26D8F6" w:rsidR="002B7515" w:rsidRDefault="00C613A7" w:rsidP="00A56327">
      <w:pPr>
        <w:pStyle w:val="Titre1"/>
        <w:numPr>
          <w:ilvl w:val="0"/>
          <w:numId w:val="3"/>
        </w:numPr>
        <w:rPr>
          <w:rFonts w:ascii="Georgia" w:hAnsi="Georgia"/>
          <w:b/>
          <w:bCs/>
          <w:color w:val="00B0F0"/>
          <w:sz w:val="32"/>
          <w:szCs w:val="32"/>
        </w:rPr>
      </w:pPr>
      <w:r>
        <w:rPr>
          <w:rFonts w:ascii="Georgia" w:hAnsi="Georgia"/>
          <w:b/>
          <w:bCs/>
          <w:color w:val="00B0F0"/>
          <w:sz w:val="32"/>
          <w:szCs w:val="32"/>
        </w:rPr>
        <w:t xml:space="preserve"> </w:t>
      </w:r>
      <w:bookmarkStart w:id="4" w:name="_Toc190960116"/>
      <w:r w:rsidR="002B7515" w:rsidRPr="00C613A7">
        <w:rPr>
          <w:rFonts w:ascii="Georgia" w:hAnsi="Georgia"/>
          <w:b/>
          <w:bCs/>
          <w:color w:val="00B0F0"/>
          <w:sz w:val="32"/>
          <w:szCs w:val="32"/>
        </w:rPr>
        <w:t>O</w:t>
      </w:r>
      <w:r w:rsidRPr="00C613A7">
        <w:rPr>
          <w:rFonts w:ascii="Georgia" w:hAnsi="Georgia"/>
          <w:b/>
          <w:bCs/>
          <w:color w:val="00B0F0"/>
          <w:sz w:val="32"/>
          <w:szCs w:val="32"/>
        </w:rPr>
        <w:t>bjets de la modification simplifiée et évolutions envisagées</w:t>
      </w:r>
      <w:bookmarkEnd w:id="4"/>
      <w:r w:rsidRPr="00C613A7">
        <w:rPr>
          <w:rFonts w:ascii="Georgia" w:hAnsi="Georgia"/>
          <w:b/>
          <w:bCs/>
          <w:color w:val="00B0F0"/>
          <w:sz w:val="32"/>
          <w:szCs w:val="32"/>
        </w:rPr>
        <w:t xml:space="preserve"> </w:t>
      </w:r>
    </w:p>
    <w:p w14:paraId="66208C48" w14:textId="77777777" w:rsidR="00C613A7" w:rsidRPr="00C613A7" w:rsidRDefault="00C613A7" w:rsidP="00C613A7"/>
    <w:p w14:paraId="39338000" w14:textId="3FB38D95" w:rsidR="00A56327" w:rsidRDefault="00A56327" w:rsidP="00A56327">
      <w:pPr>
        <w:pStyle w:val="Titre2"/>
        <w:numPr>
          <w:ilvl w:val="0"/>
          <w:numId w:val="2"/>
        </w:numPr>
        <w:rPr>
          <w:rFonts w:ascii="Georgia" w:hAnsi="Georgia"/>
          <w:b/>
          <w:bCs/>
          <w:color w:val="auto"/>
          <w:sz w:val="28"/>
          <w:szCs w:val="28"/>
        </w:rPr>
      </w:pPr>
      <w:bookmarkStart w:id="5" w:name="_Toc190960117"/>
      <w:r w:rsidRPr="00C613A7">
        <w:rPr>
          <w:rFonts w:ascii="Georgia" w:hAnsi="Georgia"/>
          <w:b/>
          <w:bCs/>
          <w:color w:val="auto"/>
          <w:sz w:val="28"/>
          <w:szCs w:val="28"/>
        </w:rPr>
        <w:t>Modification du règlement écrit</w:t>
      </w:r>
      <w:bookmarkEnd w:id="5"/>
      <w:r w:rsidRPr="00C613A7">
        <w:rPr>
          <w:rFonts w:ascii="Georgia" w:hAnsi="Georgia"/>
          <w:b/>
          <w:bCs/>
          <w:color w:val="auto"/>
          <w:sz w:val="28"/>
          <w:szCs w:val="28"/>
        </w:rPr>
        <w:t xml:space="preserve"> </w:t>
      </w:r>
    </w:p>
    <w:p w14:paraId="735234C9" w14:textId="77777777" w:rsidR="00C613A7" w:rsidRPr="00C613A7" w:rsidRDefault="00C613A7" w:rsidP="00C613A7"/>
    <w:p w14:paraId="178A941D" w14:textId="53219A7B" w:rsidR="00226867" w:rsidRPr="00226867" w:rsidRDefault="00A56327" w:rsidP="00226867">
      <w:pPr>
        <w:pStyle w:val="Titre3"/>
        <w:numPr>
          <w:ilvl w:val="0"/>
          <w:numId w:val="4"/>
        </w:numPr>
        <w:rPr>
          <w:rFonts w:ascii="Georgia" w:hAnsi="Georgia"/>
          <w:color w:val="auto"/>
          <w:sz w:val="22"/>
          <w:szCs w:val="22"/>
        </w:rPr>
      </w:pPr>
      <w:bookmarkStart w:id="6" w:name="_Toc190960118"/>
      <w:r w:rsidRPr="003C4C29">
        <w:rPr>
          <w:rFonts w:ascii="Georgia" w:hAnsi="Georgia"/>
          <w:color w:val="auto"/>
          <w:sz w:val="22"/>
          <w:szCs w:val="22"/>
        </w:rPr>
        <w:t>Précision de la règle en matière de limitation de certains usages et d’affectations des sols dans l</w:t>
      </w:r>
      <w:r w:rsidR="00350B43">
        <w:rPr>
          <w:rFonts w:ascii="Georgia" w:hAnsi="Georgia"/>
          <w:color w:val="auto"/>
          <w:sz w:val="22"/>
          <w:szCs w:val="22"/>
        </w:rPr>
        <w:t>es</w:t>
      </w:r>
      <w:r w:rsidRPr="003C4C29">
        <w:rPr>
          <w:rFonts w:ascii="Georgia" w:hAnsi="Georgia"/>
          <w:color w:val="auto"/>
          <w:sz w:val="22"/>
          <w:szCs w:val="22"/>
        </w:rPr>
        <w:t xml:space="preserve"> zone</w:t>
      </w:r>
      <w:r w:rsidR="00350B43">
        <w:rPr>
          <w:rFonts w:ascii="Georgia" w:hAnsi="Georgia"/>
          <w:color w:val="auto"/>
          <w:sz w:val="22"/>
          <w:szCs w:val="22"/>
        </w:rPr>
        <w:t>s</w:t>
      </w:r>
      <w:r w:rsidRPr="003C4C29">
        <w:rPr>
          <w:rFonts w:ascii="Georgia" w:hAnsi="Georgia"/>
          <w:color w:val="auto"/>
          <w:sz w:val="22"/>
          <w:szCs w:val="22"/>
        </w:rPr>
        <w:t xml:space="preserve"> </w:t>
      </w:r>
      <w:r w:rsidR="00350B43">
        <w:rPr>
          <w:rFonts w:ascii="Georgia" w:hAnsi="Georgia"/>
          <w:color w:val="auto"/>
          <w:sz w:val="22"/>
          <w:szCs w:val="22"/>
        </w:rPr>
        <w:t>Nt1, Nt2 et Na</w:t>
      </w:r>
      <w:bookmarkEnd w:id="6"/>
      <w:r w:rsidR="00350B43">
        <w:rPr>
          <w:rFonts w:ascii="Georgia" w:hAnsi="Georgia"/>
          <w:color w:val="auto"/>
          <w:sz w:val="22"/>
          <w:szCs w:val="22"/>
        </w:rPr>
        <w:t xml:space="preserve"> </w:t>
      </w:r>
    </w:p>
    <w:p w14:paraId="329ADC26" w14:textId="77777777" w:rsidR="00226867" w:rsidRPr="00226867" w:rsidRDefault="00226867">
      <w:pPr>
        <w:rPr>
          <w:rFonts w:ascii="Georgia" w:hAnsi="Georgia"/>
        </w:rPr>
      </w:pPr>
    </w:p>
    <w:p w14:paraId="5AD95A1E" w14:textId="02DB44FE" w:rsidR="00C32313" w:rsidRDefault="00C32313" w:rsidP="00226867">
      <w:pPr>
        <w:pStyle w:val="Corpsdetexte"/>
        <w:ind w:left="360"/>
        <w:jc w:val="both"/>
        <w:rPr>
          <w:rFonts w:ascii="Georgia" w:hAnsi="Georgia"/>
          <w:sz w:val="22"/>
        </w:rPr>
      </w:pPr>
      <w:r>
        <w:rPr>
          <w:rFonts w:ascii="Georgia" w:hAnsi="Georgia"/>
          <w:sz w:val="22"/>
        </w:rPr>
        <w:t xml:space="preserve">L’objectif </w:t>
      </w:r>
      <w:r w:rsidR="00B83374">
        <w:rPr>
          <w:rFonts w:ascii="Georgia" w:hAnsi="Georgia"/>
          <w:sz w:val="22"/>
        </w:rPr>
        <w:t xml:space="preserve">de cette modification </w:t>
      </w:r>
      <w:r>
        <w:rPr>
          <w:rFonts w:ascii="Georgia" w:hAnsi="Georgia"/>
          <w:sz w:val="22"/>
        </w:rPr>
        <w:t xml:space="preserve">est de préciser et clarifier la règle relative aux usages et affectations des sols autorisés dans </w:t>
      </w:r>
      <w:r w:rsidRPr="00350B43">
        <w:rPr>
          <w:rFonts w:ascii="Georgia" w:hAnsi="Georgia"/>
          <w:sz w:val="22"/>
        </w:rPr>
        <w:t>l</w:t>
      </w:r>
      <w:r w:rsidR="00350B43" w:rsidRPr="00350B43">
        <w:rPr>
          <w:rFonts w:ascii="Georgia" w:hAnsi="Georgia"/>
          <w:sz w:val="22"/>
        </w:rPr>
        <w:t>es</w:t>
      </w:r>
      <w:r w:rsidRPr="00350B43">
        <w:rPr>
          <w:rFonts w:ascii="Georgia" w:hAnsi="Georgia"/>
          <w:sz w:val="22"/>
        </w:rPr>
        <w:t xml:space="preserve"> zone</w:t>
      </w:r>
      <w:r w:rsidR="00350B43" w:rsidRPr="00350B43">
        <w:rPr>
          <w:rFonts w:ascii="Georgia" w:hAnsi="Georgia"/>
          <w:sz w:val="22"/>
        </w:rPr>
        <w:t>s</w:t>
      </w:r>
      <w:r w:rsidRPr="00350B43">
        <w:rPr>
          <w:rFonts w:ascii="Georgia" w:hAnsi="Georgia"/>
          <w:sz w:val="22"/>
        </w:rPr>
        <w:t xml:space="preserve"> </w:t>
      </w:r>
      <w:r w:rsidR="00350B43" w:rsidRPr="00350B43">
        <w:rPr>
          <w:rFonts w:ascii="Georgia" w:hAnsi="Georgia"/>
          <w:sz w:val="22"/>
        </w:rPr>
        <w:t xml:space="preserve">Nt1, </w:t>
      </w:r>
      <w:r w:rsidRPr="00350B43">
        <w:rPr>
          <w:rFonts w:ascii="Georgia" w:hAnsi="Georgia"/>
          <w:sz w:val="22"/>
        </w:rPr>
        <w:t>Nt2</w:t>
      </w:r>
      <w:r w:rsidR="00350B43">
        <w:rPr>
          <w:rFonts w:ascii="Georgia" w:hAnsi="Georgia"/>
          <w:sz w:val="22"/>
        </w:rPr>
        <w:t xml:space="preserve"> et Na</w:t>
      </w:r>
      <w:r>
        <w:rPr>
          <w:rFonts w:ascii="Georgia" w:hAnsi="Georgia"/>
          <w:sz w:val="22"/>
        </w:rPr>
        <w:t xml:space="preserve">.  </w:t>
      </w:r>
      <w:r w:rsidR="00226867" w:rsidRPr="00226867">
        <w:rPr>
          <w:rFonts w:ascii="Georgia" w:hAnsi="Georgia"/>
          <w:sz w:val="22"/>
        </w:rPr>
        <w:t>Les dispositions émises dans le règlement écrit du PLUi en vigueur</w:t>
      </w:r>
      <w:r>
        <w:rPr>
          <w:rFonts w:ascii="Georgia" w:hAnsi="Georgia"/>
          <w:sz w:val="22"/>
        </w:rPr>
        <w:t xml:space="preserve">, précise que le changement de destination est autorisé </w:t>
      </w:r>
      <w:r w:rsidR="00B83374">
        <w:rPr>
          <w:rFonts w:ascii="Georgia" w:hAnsi="Georgia"/>
          <w:sz w:val="22"/>
        </w:rPr>
        <w:t>pour</w:t>
      </w:r>
      <w:r>
        <w:rPr>
          <w:rFonts w:ascii="Georgia" w:hAnsi="Georgia"/>
          <w:sz w:val="22"/>
        </w:rPr>
        <w:t xml:space="preserve"> </w:t>
      </w:r>
      <w:r w:rsidR="00B83374">
        <w:rPr>
          <w:rFonts w:ascii="Georgia" w:hAnsi="Georgia"/>
          <w:sz w:val="22"/>
        </w:rPr>
        <w:t xml:space="preserve">les bâtis existants situés dans </w:t>
      </w:r>
      <w:r>
        <w:rPr>
          <w:rFonts w:ascii="Georgia" w:hAnsi="Georgia"/>
          <w:sz w:val="22"/>
        </w:rPr>
        <w:t>l</w:t>
      </w:r>
      <w:r w:rsidR="00350B43">
        <w:rPr>
          <w:rFonts w:ascii="Georgia" w:hAnsi="Georgia"/>
          <w:sz w:val="22"/>
        </w:rPr>
        <w:t>es</w:t>
      </w:r>
      <w:r>
        <w:rPr>
          <w:rFonts w:ascii="Georgia" w:hAnsi="Georgia"/>
          <w:sz w:val="22"/>
        </w:rPr>
        <w:t xml:space="preserve"> zone</w:t>
      </w:r>
      <w:r w:rsidR="00350B43">
        <w:rPr>
          <w:rFonts w:ascii="Georgia" w:hAnsi="Georgia"/>
          <w:sz w:val="22"/>
        </w:rPr>
        <w:t>s Nt1,</w:t>
      </w:r>
      <w:r>
        <w:rPr>
          <w:rFonts w:ascii="Georgia" w:hAnsi="Georgia"/>
          <w:sz w:val="22"/>
        </w:rPr>
        <w:t xml:space="preserve"> Nt2</w:t>
      </w:r>
      <w:r w:rsidR="00350B43">
        <w:rPr>
          <w:rFonts w:ascii="Georgia" w:hAnsi="Georgia"/>
          <w:sz w:val="22"/>
        </w:rPr>
        <w:t xml:space="preserve"> et Na</w:t>
      </w:r>
      <w:r>
        <w:rPr>
          <w:rFonts w:ascii="Georgia" w:hAnsi="Georgia"/>
          <w:sz w:val="22"/>
        </w:rPr>
        <w:t xml:space="preserve">. </w:t>
      </w:r>
    </w:p>
    <w:p w14:paraId="1AA8D4C3" w14:textId="4FD448D8" w:rsidR="00C32313" w:rsidRDefault="00C32313" w:rsidP="00226867">
      <w:pPr>
        <w:pStyle w:val="Corpsdetexte"/>
        <w:ind w:left="360"/>
        <w:jc w:val="both"/>
        <w:rPr>
          <w:rFonts w:ascii="Georgia" w:hAnsi="Georgia"/>
          <w:sz w:val="22"/>
        </w:rPr>
      </w:pPr>
      <w:r>
        <w:rPr>
          <w:rFonts w:ascii="Georgia" w:hAnsi="Georgia"/>
          <w:sz w:val="22"/>
        </w:rPr>
        <w:t xml:space="preserve">La formulation des sous-destinations concernées par le changement de destination peut porter à confusion. Ainsi, la Communauté de Communes souhaite préciser la règle pour </w:t>
      </w:r>
      <w:r w:rsidR="002805BA">
        <w:rPr>
          <w:rFonts w:ascii="Georgia" w:hAnsi="Georgia"/>
          <w:sz w:val="22"/>
        </w:rPr>
        <w:t xml:space="preserve">limiter certains usages et affectations des sols </w:t>
      </w:r>
      <w:r w:rsidR="00350B43">
        <w:rPr>
          <w:rFonts w:ascii="Georgia" w:hAnsi="Georgia"/>
          <w:sz w:val="22"/>
        </w:rPr>
        <w:t>dans les zones Nt1, Nt2 et Na</w:t>
      </w:r>
      <w:r w:rsidR="002805BA">
        <w:rPr>
          <w:rFonts w:ascii="Georgia" w:hAnsi="Georgia"/>
          <w:sz w:val="22"/>
        </w:rPr>
        <w:t xml:space="preserve">. </w:t>
      </w:r>
    </w:p>
    <w:p w14:paraId="53626204" w14:textId="77777777" w:rsidR="00226867" w:rsidRPr="007F677A" w:rsidRDefault="00226867" w:rsidP="00226867">
      <w:pPr>
        <w:pStyle w:val="Corpsdetexte"/>
        <w:ind w:left="360"/>
        <w:jc w:val="both"/>
        <w:rPr>
          <w:rFonts w:ascii="Georgia" w:hAnsi="Georgia"/>
          <w:color w:val="4EA72E" w:themeColor="accent6"/>
          <w:sz w:val="22"/>
        </w:rPr>
      </w:pPr>
    </w:p>
    <w:p w14:paraId="16E3215C" w14:textId="11C17240" w:rsidR="00226867" w:rsidRPr="00B83D88" w:rsidRDefault="00226867" w:rsidP="00B83D88">
      <w:pPr>
        <w:pStyle w:val="Corpsdetexte"/>
        <w:numPr>
          <w:ilvl w:val="0"/>
          <w:numId w:val="11"/>
        </w:numPr>
        <w:rPr>
          <w:rFonts w:ascii="Georgia" w:hAnsi="Georgia"/>
          <w:b/>
          <w:bCs/>
          <w:i/>
          <w:iCs/>
          <w:color w:val="4EA72E" w:themeColor="accent6"/>
          <w:sz w:val="22"/>
        </w:rPr>
      </w:pPr>
      <w:r w:rsidRPr="00B83D88">
        <w:rPr>
          <w:rFonts w:ascii="Georgia" w:hAnsi="Georgia"/>
          <w:b/>
          <w:bCs/>
          <w:i/>
          <w:iCs/>
          <w:color w:val="4EA72E" w:themeColor="accent6"/>
          <w:sz w:val="22"/>
        </w:rPr>
        <w:t xml:space="preserve">Extrait du règlement écrit du PLUi en vigueur </w:t>
      </w:r>
    </w:p>
    <w:p w14:paraId="300BBB0A" w14:textId="3B42974E" w:rsidR="00226867" w:rsidRDefault="00783D12" w:rsidP="00C32313">
      <w:pPr>
        <w:spacing w:after="0"/>
        <w:jc w:val="center"/>
      </w:pPr>
      <w:r w:rsidRPr="00783D12">
        <w:rPr>
          <w:noProof/>
        </w:rPr>
        <w:drawing>
          <wp:inline distT="0" distB="0" distL="0" distR="0" wp14:anchorId="04B35F09" wp14:editId="66943D40">
            <wp:extent cx="6120130" cy="4211320"/>
            <wp:effectExtent l="0" t="0" r="0" b="0"/>
            <wp:docPr id="561963152" name="Image 1" descr="Une image contenant texte, capture d’écran, Police, docume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63152" name="Image 1" descr="Une image contenant texte, capture d’écran, Police, document&#10;&#10;Le contenu généré par l’IA peut être incorrect."/>
                    <pic:cNvPicPr/>
                  </pic:nvPicPr>
                  <pic:blipFill>
                    <a:blip r:embed="rId9"/>
                    <a:stretch>
                      <a:fillRect/>
                    </a:stretch>
                  </pic:blipFill>
                  <pic:spPr>
                    <a:xfrm>
                      <a:off x="0" y="0"/>
                      <a:ext cx="6120130" cy="4211320"/>
                    </a:xfrm>
                    <a:prstGeom prst="rect">
                      <a:avLst/>
                    </a:prstGeom>
                  </pic:spPr>
                </pic:pic>
              </a:graphicData>
            </a:graphic>
          </wp:inline>
        </w:drawing>
      </w:r>
    </w:p>
    <w:p w14:paraId="451C39A1" w14:textId="77777777" w:rsidR="00B83D88" w:rsidRDefault="00B83D88" w:rsidP="00C32313">
      <w:pPr>
        <w:rPr>
          <w:rFonts w:ascii="Georgia" w:hAnsi="Georgia"/>
          <w:i/>
          <w:iCs/>
        </w:rPr>
      </w:pPr>
    </w:p>
    <w:p w14:paraId="1085236C" w14:textId="77777777" w:rsidR="00C935D9" w:rsidRDefault="00C935D9" w:rsidP="00C32313">
      <w:pPr>
        <w:rPr>
          <w:rFonts w:ascii="Georgia" w:hAnsi="Georgia"/>
        </w:rPr>
      </w:pPr>
    </w:p>
    <w:p w14:paraId="5F0E87C3" w14:textId="77777777" w:rsidR="00B83374" w:rsidRPr="00C32313" w:rsidRDefault="00B83374" w:rsidP="00C32313">
      <w:pPr>
        <w:rPr>
          <w:rFonts w:ascii="Georgia" w:hAnsi="Georgia"/>
        </w:rPr>
      </w:pPr>
    </w:p>
    <w:p w14:paraId="7508E3D6" w14:textId="4C5230C8" w:rsidR="00226867" w:rsidRPr="00B83D88" w:rsidRDefault="00B83D88" w:rsidP="00B83D88">
      <w:pPr>
        <w:pStyle w:val="Corpsdetexte"/>
        <w:numPr>
          <w:ilvl w:val="0"/>
          <w:numId w:val="11"/>
        </w:numPr>
        <w:rPr>
          <w:rFonts w:ascii="Georgia" w:hAnsi="Georgia"/>
          <w:b/>
          <w:bCs/>
          <w:i/>
          <w:iCs/>
          <w:color w:val="4EA72E" w:themeColor="accent6"/>
          <w:sz w:val="22"/>
        </w:rPr>
      </w:pPr>
      <w:r w:rsidRPr="00B83D88">
        <w:rPr>
          <w:rFonts w:ascii="Georgia" w:hAnsi="Georgia"/>
          <w:b/>
          <w:bCs/>
          <w:i/>
          <w:iCs/>
          <w:color w:val="4EA72E" w:themeColor="accent6"/>
          <w:sz w:val="22"/>
        </w:rPr>
        <w:t xml:space="preserve">Extrait du règlement écrit du PLUi </w:t>
      </w:r>
      <w:r>
        <w:rPr>
          <w:rFonts w:ascii="Georgia" w:hAnsi="Georgia"/>
          <w:b/>
          <w:bCs/>
          <w:i/>
          <w:iCs/>
          <w:color w:val="4EA72E" w:themeColor="accent6"/>
          <w:sz w:val="22"/>
        </w:rPr>
        <w:t>modifié</w:t>
      </w:r>
      <w:r w:rsidRPr="00B83D88">
        <w:rPr>
          <w:rFonts w:ascii="Georgia" w:hAnsi="Georgia"/>
          <w:b/>
          <w:bCs/>
          <w:i/>
          <w:iCs/>
          <w:color w:val="4EA72E" w:themeColor="accent6"/>
          <w:sz w:val="22"/>
        </w:rPr>
        <w:t xml:space="preserve"> </w:t>
      </w:r>
    </w:p>
    <w:p w14:paraId="0AB88783" w14:textId="7DC82FC1" w:rsidR="00226867" w:rsidRPr="00226867" w:rsidRDefault="00D570B5" w:rsidP="00226867">
      <w:pPr>
        <w:pStyle w:val="Titre4"/>
        <w:rPr>
          <w:rFonts w:ascii="Georgia" w:hAnsi="Georgia"/>
        </w:rPr>
      </w:pPr>
      <w:r w:rsidRPr="00D570B5">
        <w:rPr>
          <w:rFonts w:ascii="Georgia" w:hAnsi="Georgia"/>
        </w:rPr>
        <w:drawing>
          <wp:inline distT="0" distB="0" distL="0" distR="0" wp14:anchorId="03DD06E3" wp14:editId="5C1E96D4">
            <wp:extent cx="6120130" cy="4200525"/>
            <wp:effectExtent l="0" t="0" r="0" b="9525"/>
            <wp:docPr id="1476040100" name="Image 1" descr="Une image contenant texte, capture d’écran,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040100" name="Image 1" descr="Une image contenant texte, capture d’écran, Police&#10;&#10;Le contenu généré par l’IA peut être incorrect."/>
                    <pic:cNvPicPr/>
                  </pic:nvPicPr>
                  <pic:blipFill>
                    <a:blip r:embed="rId10"/>
                    <a:stretch>
                      <a:fillRect/>
                    </a:stretch>
                  </pic:blipFill>
                  <pic:spPr>
                    <a:xfrm>
                      <a:off x="0" y="0"/>
                      <a:ext cx="6120130" cy="4200525"/>
                    </a:xfrm>
                    <a:prstGeom prst="rect">
                      <a:avLst/>
                    </a:prstGeom>
                  </pic:spPr>
                </pic:pic>
              </a:graphicData>
            </a:graphic>
          </wp:inline>
        </w:drawing>
      </w:r>
      <w:r w:rsidR="007F677A" w:rsidRPr="007F677A">
        <w:rPr>
          <w:rFonts w:ascii="Georgia" w:hAnsi="Georgia"/>
        </w:rPr>
        <w:t xml:space="preserve"> </w:t>
      </w:r>
      <w:r w:rsidR="002B7515" w:rsidRPr="00226867">
        <w:rPr>
          <w:rFonts w:ascii="Georgia" w:hAnsi="Georgia"/>
        </w:rPr>
        <w:br w:type="page"/>
      </w:r>
    </w:p>
    <w:p w14:paraId="06BC7312" w14:textId="3922FBE9" w:rsidR="002B7515" w:rsidRPr="00C613A7" w:rsidRDefault="00C613A7" w:rsidP="00A56327">
      <w:pPr>
        <w:pStyle w:val="Titre1"/>
        <w:numPr>
          <w:ilvl w:val="0"/>
          <w:numId w:val="3"/>
        </w:numPr>
        <w:rPr>
          <w:rFonts w:ascii="Georgia" w:hAnsi="Georgia"/>
          <w:b/>
          <w:bCs/>
          <w:color w:val="00B0F0"/>
          <w:sz w:val="32"/>
          <w:szCs w:val="32"/>
        </w:rPr>
      </w:pPr>
      <w:r>
        <w:rPr>
          <w:rFonts w:ascii="Georgia" w:hAnsi="Georgia"/>
          <w:b/>
          <w:bCs/>
          <w:color w:val="00B0F0"/>
          <w:sz w:val="32"/>
          <w:szCs w:val="32"/>
        </w:rPr>
        <w:t xml:space="preserve"> </w:t>
      </w:r>
      <w:bookmarkStart w:id="7" w:name="_Toc190960119"/>
      <w:r w:rsidR="002B7515" w:rsidRPr="00C613A7">
        <w:rPr>
          <w:rFonts w:ascii="Georgia" w:hAnsi="Georgia"/>
          <w:b/>
          <w:bCs/>
          <w:color w:val="00B0F0"/>
          <w:sz w:val="32"/>
          <w:szCs w:val="32"/>
        </w:rPr>
        <w:t>E</w:t>
      </w:r>
      <w:r w:rsidRPr="00C613A7">
        <w:rPr>
          <w:rFonts w:ascii="Georgia" w:hAnsi="Georgia"/>
          <w:b/>
          <w:bCs/>
          <w:color w:val="00B0F0"/>
          <w:sz w:val="32"/>
          <w:szCs w:val="32"/>
        </w:rPr>
        <w:t>tat Initial de l’Environnement</w:t>
      </w:r>
      <w:bookmarkEnd w:id="7"/>
      <w:r w:rsidRPr="00C613A7">
        <w:rPr>
          <w:rFonts w:ascii="Georgia" w:hAnsi="Georgia"/>
          <w:b/>
          <w:bCs/>
          <w:color w:val="00B0F0"/>
          <w:sz w:val="32"/>
          <w:szCs w:val="32"/>
        </w:rPr>
        <w:t xml:space="preserve"> </w:t>
      </w:r>
    </w:p>
    <w:p w14:paraId="03359515" w14:textId="77777777" w:rsidR="000A7F0A" w:rsidRPr="00A56327" w:rsidRDefault="000A7F0A" w:rsidP="000A7F0A">
      <w:pPr>
        <w:pStyle w:val="Corpsdetexte"/>
        <w:rPr>
          <w:rFonts w:ascii="Georgia" w:hAnsi="Georgia"/>
          <w:highlight w:val="yellow"/>
        </w:rPr>
      </w:pPr>
    </w:p>
    <w:p w14:paraId="39A4E5A6" w14:textId="77777777" w:rsidR="000A7F0A" w:rsidRPr="002805BA" w:rsidRDefault="000A7F0A" w:rsidP="000A7F0A">
      <w:pPr>
        <w:pStyle w:val="Corpsdetexte"/>
        <w:rPr>
          <w:rFonts w:ascii="Georgia" w:hAnsi="Georgia"/>
          <w:sz w:val="22"/>
          <w:szCs w:val="24"/>
        </w:rPr>
      </w:pPr>
      <w:r w:rsidRPr="002805BA">
        <w:rPr>
          <w:rFonts w:ascii="Georgia" w:hAnsi="Georgia"/>
          <w:sz w:val="22"/>
          <w:szCs w:val="24"/>
        </w:rPr>
        <w:t xml:space="preserve">Les éléments qui suivent sont extraits de l’état initial du PLUi approuvé. </w:t>
      </w:r>
    </w:p>
    <w:p w14:paraId="060AF2CB" w14:textId="77777777" w:rsidR="000A7F0A" w:rsidRPr="002805BA" w:rsidRDefault="000A7F0A" w:rsidP="000A7F0A">
      <w:pPr>
        <w:pStyle w:val="Corpsdetexte"/>
        <w:rPr>
          <w:rFonts w:ascii="Georgia" w:hAnsi="Georgia"/>
          <w:sz w:val="22"/>
          <w:szCs w:val="24"/>
        </w:rPr>
      </w:pPr>
      <w:r w:rsidRPr="002805BA">
        <w:rPr>
          <w:rFonts w:ascii="Georgia" w:hAnsi="Georgia"/>
          <w:sz w:val="22"/>
          <w:szCs w:val="24"/>
        </w:rPr>
        <w:t>Sont synthétisés dans le tableau ci-après les enjeux et menaces identifiés sur le territoire.</w:t>
      </w:r>
    </w:p>
    <w:p w14:paraId="103B572D" w14:textId="77777777" w:rsidR="000A7F0A" w:rsidRDefault="000A7F0A" w:rsidP="000A7F0A">
      <w:pPr>
        <w:pStyle w:val="Corpsdetexte"/>
        <w:rPr>
          <w:rFonts w:ascii="Georgia" w:hAnsi="Georgia"/>
          <w:highlight w:val="yellow"/>
        </w:rPr>
      </w:pPr>
    </w:p>
    <w:p w14:paraId="39F7E07E" w14:textId="77777777" w:rsidR="004C1BF8" w:rsidRPr="00FE50F8" w:rsidRDefault="004C1BF8" w:rsidP="004C1BF8">
      <w:pPr>
        <w:pStyle w:val="Corpsdetexte"/>
        <w:rPr>
          <w:highlight w:val="yellow"/>
        </w:rPr>
        <w:sectPr w:rsidR="004C1BF8" w:rsidRPr="00FE50F8" w:rsidSect="00C935D9">
          <w:footerReference w:type="default" r:id="rId11"/>
          <w:pgSz w:w="11906" w:h="16838" w:code="9"/>
          <w:pgMar w:top="1701" w:right="1134" w:bottom="851" w:left="1134" w:header="0" w:footer="454" w:gutter="0"/>
          <w:pgNumType w:start="2"/>
          <w:cols w:space="708"/>
          <w:docGrid w:linePitch="360"/>
        </w:sectPr>
      </w:pPr>
    </w:p>
    <w:tbl>
      <w:tblPr>
        <w:tblW w:w="5000" w:type="pct"/>
        <w:tblInd w:w="5" w:type="dxa"/>
        <w:tblBorders>
          <w:top w:val="single" w:sz="2" w:space="0" w:color="9CC2E5"/>
          <w:bottom w:val="single" w:sz="2" w:space="0" w:color="9CC2E5"/>
          <w:insideH w:val="single" w:sz="2" w:space="0" w:color="9CC2E5"/>
          <w:insideV w:val="single" w:sz="2" w:space="0" w:color="9CC2E5"/>
        </w:tblBorders>
        <w:tblLayout w:type="fixed"/>
        <w:tblLook w:val="04A0" w:firstRow="1" w:lastRow="0" w:firstColumn="1" w:lastColumn="0" w:noHBand="0" w:noVBand="1"/>
      </w:tblPr>
      <w:tblGrid>
        <w:gridCol w:w="766"/>
        <w:gridCol w:w="873"/>
        <w:gridCol w:w="731"/>
        <w:gridCol w:w="3387"/>
        <w:gridCol w:w="3315"/>
      </w:tblGrid>
      <w:tr w:rsidR="004C1BF8" w:rsidRPr="00C25D68" w14:paraId="0B62C779" w14:textId="77777777" w:rsidTr="00661FE7">
        <w:trPr>
          <w:trHeight w:val="20"/>
        </w:trPr>
        <w:tc>
          <w:tcPr>
            <w:tcW w:w="422" w:type="pct"/>
            <w:tcBorders>
              <w:top w:val="nil"/>
              <w:bottom w:val="single" w:sz="12" w:space="0" w:color="9CC2E5"/>
              <w:right w:val="nil"/>
            </w:tcBorders>
            <w:shd w:val="clear" w:color="auto" w:fill="FFFFFF"/>
            <w:hideMark/>
          </w:tcPr>
          <w:p w14:paraId="756C140B" w14:textId="77777777" w:rsidR="004C1BF8" w:rsidRPr="00C25D68" w:rsidRDefault="004C1BF8" w:rsidP="00661FE7">
            <w:pPr>
              <w:spacing w:after="0" w:line="240" w:lineRule="auto"/>
              <w:jc w:val="center"/>
              <w:rPr>
                <w:rFonts w:eastAsia="Times New Roman" w:cs="Arial"/>
                <w:b/>
                <w:color w:val="002744"/>
                <w:sz w:val="16"/>
                <w:szCs w:val="16"/>
                <w:lang w:eastAsia="fr-FR"/>
              </w:rPr>
            </w:pPr>
            <w:r w:rsidRPr="00C25D68">
              <w:rPr>
                <w:rFonts w:eastAsia="Times New Roman" w:cs="Arial"/>
                <w:b/>
                <w:color w:val="002744"/>
                <w:sz w:val="16"/>
                <w:szCs w:val="16"/>
                <w:lang w:eastAsia="fr-FR"/>
              </w:rPr>
              <w:t>Titre</w:t>
            </w:r>
          </w:p>
        </w:tc>
        <w:tc>
          <w:tcPr>
            <w:tcW w:w="481" w:type="pct"/>
            <w:tcBorders>
              <w:top w:val="nil"/>
              <w:left w:val="nil"/>
              <w:bottom w:val="single" w:sz="12" w:space="0" w:color="9CC2E5"/>
              <w:right w:val="nil"/>
            </w:tcBorders>
            <w:shd w:val="clear" w:color="auto" w:fill="FFFFFF"/>
            <w:hideMark/>
          </w:tcPr>
          <w:p w14:paraId="4E49D4C5" w14:textId="77777777" w:rsidR="004C1BF8" w:rsidRPr="00C25D68" w:rsidRDefault="004C1BF8" w:rsidP="00661FE7">
            <w:pPr>
              <w:spacing w:after="0" w:line="240" w:lineRule="auto"/>
              <w:jc w:val="center"/>
              <w:rPr>
                <w:rFonts w:eastAsia="Times New Roman" w:cs="Arial"/>
                <w:b/>
                <w:color w:val="002744"/>
                <w:sz w:val="16"/>
                <w:szCs w:val="16"/>
                <w:lang w:eastAsia="fr-FR"/>
              </w:rPr>
            </w:pPr>
            <w:r w:rsidRPr="00C25D68">
              <w:rPr>
                <w:rFonts w:eastAsia="Times New Roman" w:cs="Arial"/>
                <w:b/>
                <w:color w:val="002744"/>
                <w:sz w:val="16"/>
                <w:szCs w:val="16"/>
                <w:lang w:eastAsia="fr-FR"/>
              </w:rPr>
              <w:t>Thèmes</w:t>
            </w:r>
          </w:p>
        </w:tc>
        <w:tc>
          <w:tcPr>
            <w:tcW w:w="403" w:type="pct"/>
            <w:tcBorders>
              <w:top w:val="nil"/>
              <w:left w:val="nil"/>
              <w:bottom w:val="single" w:sz="12" w:space="0" w:color="9CC2E5"/>
              <w:right w:val="nil"/>
            </w:tcBorders>
            <w:shd w:val="clear" w:color="auto" w:fill="FFFFFF"/>
            <w:hideMark/>
          </w:tcPr>
          <w:p w14:paraId="01745D44" w14:textId="77777777" w:rsidR="004C1BF8" w:rsidRPr="00C25D68" w:rsidRDefault="004C1BF8" w:rsidP="00661FE7">
            <w:pPr>
              <w:spacing w:after="0" w:line="240" w:lineRule="auto"/>
              <w:jc w:val="center"/>
              <w:rPr>
                <w:rFonts w:eastAsia="Times New Roman" w:cs="Arial"/>
                <w:b/>
                <w:color w:val="002744"/>
                <w:sz w:val="16"/>
                <w:szCs w:val="16"/>
                <w:lang w:eastAsia="fr-FR"/>
              </w:rPr>
            </w:pPr>
            <w:r w:rsidRPr="00C25D68">
              <w:rPr>
                <w:rFonts w:eastAsia="Times New Roman" w:cs="Arial"/>
                <w:b/>
                <w:color w:val="002744"/>
                <w:sz w:val="16"/>
                <w:szCs w:val="16"/>
                <w:lang w:eastAsia="fr-FR"/>
              </w:rPr>
              <w:t>Sous-thèmes</w:t>
            </w:r>
          </w:p>
        </w:tc>
        <w:tc>
          <w:tcPr>
            <w:tcW w:w="1867" w:type="pct"/>
            <w:tcBorders>
              <w:top w:val="nil"/>
              <w:left w:val="nil"/>
              <w:bottom w:val="single" w:sz="12" w:space="0" w:color="9CC2E5"/>
              <w:right w:val="nil"/>
            </w:tcBorders>
            <w:shd w:val="clear" w:color="auto" w:fill="FFFFFF"/>
            <w:hideMark/>
          </w:tcPr>
          <w:p w14:paraId="682AA90E" w14:textId="77777777" w:rsidR="004C1BF8" w:rsidRPr="00C25D68" w:rsidRDefault="004C1BF8" w:rsidP="00661FE7">
            <w:pPr>
              <w:spacing w:after="0" w:line="240" w:lineRule="auto"/>
              <w:rPr>
                <w:rFonts w:eastAsia="Times New Roman" w:cs="Arial"/>
                <w:b/>
                <w:color w:val="002744"/>
                <w:sz w:val="16"/>
                <w:szCs w:val="16"/>
                <w:lang w:eastAsia="fr-FR"/>
              </w:rPr>
            </w:pPr>
            <w:r w:rsidRPr="00C25D68">
              <w:rPr>
                <w:rFonts w:eastAsia="Times New Roman" w:cs="Arial"/>
                <w:b/>
                <w:color w:val="002744"/>
                <w:sz w:val="16"/>
                <w:szCs w:val="16"/>
                <w:lang w:eastAsia="fr-FR"/>
              </w:rPr>
              <w:t>Atouts / Enjeux</w:t>
            </w:r>
          </w:p>
        </w:tc>
        <w:tc>
          <w:tcPr>
            <w:tcW w:w="1827" w:type="pct"/>
            <w:tcBorders>
              <w:top w:val="nil"/>
              <w:left w:val="nil"/>
              <w:bottom w:val="single" w:sz="12" w:space="0" w:color="9CC2E5"/>
            </w:tcBorders>
            <w:shd w:val="clear" w:color="auto" w:fill="FFFFFF"/>
            <w:hideMark/>
          </w:tcPr>
          <w:p w14:paraId="47A4767F" w14:textId="77777777" w:rsidR="004C1BF8" w:rsidRPr="00C25D68" w:rsidRDefault="004C1BF8" w:rsidP="00661FE7">
            <w:pPr>
              <w:spacing w:after="0" w:line="240" w:lineRule="auto"/>
              <w:rPr>
                <w:rFonts w:eastAsia="Times New Roman" w:cs="Arial"/>
                <w:b/>
                <w:color w:val="002744"/>
                <w:sz w:val="16"/>
                <w:szCs w:val="16"/>
                <w:lang w:eastAsia="fr-FR"/>
              </w:rPr>
            </w:pPr>
            <w:r w:rsidRPr="00C25D68">
              <w:rPr>
                <w:rFonts w:eastAsia="Times New Roman" w:cs="Arial"/>
                <w:b/>
                <w:color w:val="002744"/>
                <w:sz w:val="16"/>
                <w:szCs w:val="16"/>
                <w:lang w:eastAsia="fr-FR"/>
              </w:rPr>
              <w:t>Faiblesses / Menaces</w:t>
            </w:r>
          </w:p>
        </w:tc>
      </w:tr>
      <w:tr w:rsidR="004C1BF8" w:rsidRPr="00C25D68" w14:paraId="0D72D6FB" w14:textId="77777777" w:rsidTr="00661FE7">
        <w:trPr>
          <w:trHeight w:val="20"/>
        </w:trPr>
        <w:tc>
          <w:tcPr>
            <w:tcW w:w="422" w:type="pct"/>
            <w:shd w:val="clear" w:color="auto" w:fill="DEEAF6"/>
            <w:hideMark/>
          </w:tcPr>
          <w:p w14:paraId="678B1E8F"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physique</w:t>
            </w:r>
          </w:p>
        </w:tc>
        <w:tc>
          <w:tcPr>
            <w:tcW w:w="481" w:type="pct"/>
            <w:shd w:val="clear" w:color="auto" w:fill="DEEAF6"/>
            <w:hideMark/>
          </w:tcPr>
          <w:p w14:paraId="5F20373A"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Contexte géologique et topographique</w:t>
            </w:r>
          </w:p>
        </w:tc>
        <w:tc>
          <w:tcPr>
            <w:tcW w:w="403" w:type="pct"/>
            <w:shd w:val="clear" w:color="auto" w:fill="DEEAF6"/>
            <w:hideMark/>
          </w:tcPr>
          <w:p w14:paraId="71F39FC2"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DEEAF6"/>
            <w:hideMark/>
          </w:tcPr>
          <w:p w14:paraId="2A44C0B3"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-Réseau hydrographique dense associé à de nombreuses vallées</w:t>
            </w:r>
            <w:r w:rsidRPr="00C25D68">
              <w:rPr>
                <w:rFonts w:eastAsia="Times New Roman" w:cs="Arial"/>
                <w:sz w:val="16"/>
                <w:szCs w:val="16"/>
                <w:lang w:eastAsia="fr-FR"/>
              </w:rPr>
              <w:br/>
              <w:t>-Nombreux vallons boisés et encaissés (talwegs)</w:t>
            </w:r>
            <w:r w:rsidRPr="00C25D68">
              <w:rPr>
                <w:rFonts w:eastAsia="Times New Roman" w:cs="Arial"/>
                <w:sz w:val="16"/>
                <w:szCs w:val="16"/>
                <w:lang w:eastAsia="fr-FR"/>
              </w:rPr>
              <w:br/>
              <w:t>-Sols argileux favorisant les plans d’eau et les zones humides</w:t>
            </w:r>
            <w:r w:rsidRPr="00C25D68">
              <w:rPr>
                <w:rFonts w:eastAsia="Times New Roman" w:cs="Arial"/>
                <w:sz w:val="16"/>
                <w:szCs w:val="16"/>
                <w:lang w:eastAsia="fr-FR"/>
              </w:rPr>
              <w:br/>
              <w:t>-Sols argileux à l’origine de mouvements de terrains (partie traitée dans les risques et nuisances du tome 1b)</w:t>
            </w:r>
          </w:p>
        </w:tc>
        <w:tc>
          <w:tcPr>
            <w:tcW w:w="1827" w:type="pct"/>
            <w:shd w:val="clear" w:color="auto" w:fill="DEEAF6"/>
            <w:hideMark/>
          </w:tcPr>
          <w:p w14:paraId="2AA16A2C"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 déboisement des pentes favorise la pollution des eaux et les comblements des cours d'eau par le lessivage des matières en suspension, favorise les glissements de terrain et ils détruisent des milieux d'espèces protégées</w:t>
            </w:r>
            <w:r w:rsidRPr="00C25D68">
              <w:rPr>
                <w:rFonts w:eastAsia="Times New Roman" w:cs="Arial"/>
                <w:sz w:val="16"/>
                <w:szCs w:val="16"/>
                <w:lang w:eastAsia="fr-FR"/>
              </w:rPr>
              <w:br/>
              <w:t>-Les remblais sont une fausse bonne idée pour supprimer les forts dénivelés ou les cavités. Les remblais augmentent les risques de pollution des eaux et des sols, de glissement de terrain et ils détruisent des milieux d'espèces protégées</w:t>
            </w:r>
            <w:r w:rsidRPr="00C25D68">
              <w:rPr>
                <w:rFonts w:eastAsia="Times New Roman" w:cs="Arial"/>
                <w:sz w:val="16"/>
                <w:szCs w:val="16"/>
                <w:lang w:eastAsia="fr-FR"/>
              </w:rPr>
              <w:br/>
              <w:t>-Menaces liées à la présence d'argiles : cf. partie consacrée aux risques</w:t>
            </w:r>
          </w:p>
        </w:tc>
      </w:tr>
      <w:tr w:rsidR="004C1BF8" w:rsidRPr="00C25D68" w14:paraId="06D8B648" w14:textId="77777777" w:rsidTr="00661FE7">
        <w:trPr>
          <w:trHeight w:val="20"/>
        </w:trPr>
        <w:tc>
          <w:tcPr>
            <w:tcW w:w="422" w:type="pct"/>
            <w:shd w:val="clear" w:color="auto" w:fill="auto"/>
            <w:hideMark/>
          </w:tcPr>
          <w:p w14:paraId="09AE091E"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physique</w:t>
            </w:r>
          </w:p>
        </w:tc>
        <w:tc>
          <w:tcPr>
            <w:tcW w:w="481" w:type="pct"/>
            <w:shd w:val="clear" w:color="auto" w:fill="auto"/>
            <w:hideMark/>
          </w:tcPr>
          <w:p w14:paraId="74A084A2"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Climat / Air / Mobilité</w:t>
            </w:r>
          </w:p>
        </w:tc>
        <w:tc>
          <w:tcPr>
            <w:tcW w:w="403" w:type="pct"/>
            <w:shd w:val="clear" w:color="auto" w:fill="auto"/>
            <w:hideMark/>
          </w:tcPr>
          <w:p w14:paraId="4D0D38A8"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auto"/>
            <w:hideMark/>
          </w:tcPr>
          <w:p w14:paraId="0F435DF9"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Pas de données disponibles sur la qualité de l’air.</w:t>
            </w:r>
            <w:r w:rsidRPr="00C25D68">
              <w:rPr>
                <w:rFonts w:eastAsia="Times New Roman" w:cs="Arial"/>
                <w:sz w:val="16"/>
                <w:szCs w:val="16"/>
                <w:lang w:eastAsia="fr-FR"/>
              </w:rPr>
              <w:br/>
              <w:t>Le climat est de type océanique sans risque particulier.</w:t>
            </w:r>
            <w:r w:rsidRPr="00C25D68">
              <w:rPr>
                <w:rFonts w:eastAsia="Times New Roman" w:cs="Arial"/>
                <w:sz w:val="16"/>
                <w:szCs w:val="16"/>
                <w:lang w:eastAsia="fr-FR"/>
              </w:rPr>
              <w:br/>
              <w:t>Le territoire est vaste et vallonné le rendant dépendant de la voiture</w:t>
            </w:r>
            <w:r w:rsidRPr="00C25D68">
              <w:rPr>
                <w:rFonts w:eastAsia="Times New Roman" w:cs="Arial"/>
                <w:sz w:val="16"/>
                <w:szCs w:val="16"/>
                <w:lang w:eastAsia="fr-FR"/>
              </w:rPr>
              <w:br/>
              <w:t>Le territoire compte un réseau de routes, de voies ferrées, la gare de Peyrehorade, un réseau de sentier de randonnée départemental, un service de transport en commun sur le territoire pour le grand public (à la demande, ligne régionale) et pour le collège du Pays d’</w:t>
            </w:r>
            <w:proofErr w:type="spellStart"/>
            <w:r w:rsidRPr="00C25D68">
              <w:rPr>
                <w:rFonts w:eastAsia="Times New Roman" w:cs="Arial"/>
                <w:sz w:val="16"/>
                <w:szCs w:val="16"/>
                <w:lang w:eastAsia="fr-FR"/>
              </w:rPr>
              <w:t>Orthe</w:t>
            </w:r>
            <w:proofErr w:type="spellEnd"/>
          </w:p>
        </w:tc>
        <w:tc>
          <w:tcPr>
            <w:tcW w:w="1827" w:type="pct"/>
            <w:shd w:val="clear" w:color="auto" w:fill="auto"/>
            <w:hideMark/>
          </w:tcPr>
          <w:p w14:paraId="2678E43D" w14:textId="77777777" w:rsidR="004C1BF8" w:rsidRPr="00C25D68" w:rsidRDefault="004C1BF8" w:rsidP="00661FE7">
            <w:pPr>
              <w:spacing w:after="0" w:line="240" w:lineRule="auto"/>
              <w:rPr>
                <w:rFonts w:eastAsia="Times New Roman" w:cs="Arial"/>
                <w:sz w:val="16"/>
                <w:szCs w:val="16"/>
                <w:lang w:eastAsia="fr-FR"/>
              </w:rPr>
            </w:pPr>
            <w:proofErr w:type="gramStart"/>
            <w:r w:rsidRPr="00C25D68">
              <w:rPr>
                <w:rFonts w:eastAsia="Times New Roman" w:cs="Arial"/>
                <w:sz w:val="16"/>
                <w:szCs w:val="16"/>
                <w:lang w:eastAsia="fr-FR"/>
              </w:rPr>
              <w:t>augmentation</w:t>
            </w:r>
            <w:proofErr w:type="gramEnd"/>
            <w:r w:rsidRPr="00C25D68">
              <w:rPr>
                <w:rFonts w:eastAsia="Times New Roman" w:cs="Arial"/>
                <w:sz w:val="16"/>
                <w:szCs w:val="16"/>
                <w:lang w:eastAsia="fr-FR"/>
              </w:rPr>
              <w:t xml:space="preserve"> du réseau routier et du trafic : augmentation des besoins en carburants, des rejets de gaz, des besoins en infrastructures sans cohérence avec l'existant</w:t>
            </w:r>
          </w:p>
        </w:tc>
      </w:tr>
      <w:tr w:rsidR="004C1BF8" w:rsidRPr="00C25D68" w14:paraId="55DF79DB" w14:textId="77777777" w:rsidTr="00661FE7">
        <w:trPr>
          <w:trHeight w:val="20"/>
        </w:trPr>
        <w:tc>
          <w:tcPr>
            <w:tcW w:w="422" w:type="pct"/>
            <w:shd w:val="clear" w:color="auto" w:fill="DEEAF6"/>
            <w:hideMark/>
          </w:tcPr>
          <w:p w14:paraId="42D58B86"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physique</w:t>
            </w:r>
          </w:p>
        </w:tc>
        <w:tc>
          <w:tcPr>
            <w:tcW w:w="481" w:type="pct"/>
            <w:shd w:val="clear" w:color="auto" w:fill="DEEAF6"/>
            <w:hideMark/>
          </w:tcPr>
          <w:p w14:paraId="15566355"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Ressource en eau</w:t>
            </w:r>
          </w:p>
        </w:tc>
        <w:tc>
          <w:tcPr>
            <w:tcW w:w="403" w:type="pct"/>
            <w:shd w:val="clear" w:color="auto" w:fill="DEEAF6"/>
            <w:hideMark/>
          </w:tcPr>
          <w:p w14:paraId="2E2D6A94"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DEEAF6"/>
            <w:hideMark/>
          </w:tcPr>
          <w:p w14:paraId="1F5E7A2C"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-Les zones humides d’intérêt écologique rassemblent diverses formes : boisements, landes et prairies</w:t>
            </w:r>
            <w:r w:rsidRPr="00C25D68">
              <w:rPr>
                <w:rFonts w:eastAsia="Times New Roman" w:cs="Arial"/>
                <w:sz w:val="16"/>
                <w:szCs w:val="16"/>
                <w:lang w:eastAsia="fr-FR"/>
              </w:rPr>
              <w:br/>
              <w:t>-Les zones humides font l’objet de statuts de protection ou de mesures de conservation (Natura2000, ZNIEFF, trames vertes et bleues, SAGE Adour Aval, plan national d’action en faveur des milieux humides 2014-2018, plans de gestion divers)</w:t>
            </w:r>
            <w:r w:rsidRPr="00C25D68">
              <w:rPr>
                <w:rFonts w:eastAsia="Times New Roman" w:cs="Arial"/>
                <w:sz w:val="16"/>
                <w:szCs w:val="16"/>
                <w:lang w:eastAsia="fr-FR"/>
              </w:rPr>
              <w:br/>
              <w:t>-Les affluents des gaves et de l’Adour présentent un envasement/ensablement général, une dégradation de la fonctionnalité du cours d’eau (biodiversité, ressources, capacité de régulation naturelle), une prolifération des espèces invasives, une fragilisation des berges et des ouvrages.</w:t>
            </w:r>
            <w:r w:rsidRPr="00C25D68">
              <w:rPr>
                <w:rFonts w:eastAsia="Times New Roman" w:cs="Arial"/>
                <w:sz w:val="16"/>
                <w:szCs w:val="16"/>
                <w:lang w:eastAsia="fr-FR"/>
              </w:rPr>
              <w:br/>
              <w:t>-Ripisylve des cours d'eau souvent en mauvais état</w:t>
            </w:r>
            <w:r w:rsidRPr="00C25D68">
              <w:rPr>
                <w:rFonts w:eastAsia="Times New Roman" w:cs="Arial"/>
                <w:sz w:val="16"/>
                <w:szCs w:val="16"/>
                <w:lang w:eastAsia="fr-FR"/>
              </w:rPr>
              <w:br/>
              <w:t xml:space="preserve">-Les gaves et leurs affluents présentent des incisions, une </w:t>
            </w:r>
            <w:proofErr w:type="spellStart"/>
            <w:r w:rsidRPr="00C25D68">
              <w:rPr>
                <w:rFonts w:eastAsia="Times New Roman" w:cs="Arial"/>
                <w:sz w:val="16"/>
                <w:szCs w:val="16"/>
                <w:lang w:eastAsia="fr-FR"/>
              </w:rPr>
              <w:t>chenalisation</w:t>
            </w:r>
            <w:proofErr w:type="spellEnd"/>
            <w:r w:rsidRPr="00C25D68">
              <w:rPr>
                <w:rFonts w:eastAsia="Times New Roman" w:cs="Arial"/>
                <w:sz w:val="16"/>
                <w:szCs w:val="16"/>
                <w:lang w:eastAsia="fr-FR"/>
              </w:rPr>
              <w:t xml:space="preserve"> du lit mineur et des érosions. Ces dysfonctionnements entraînent la dégradation de la biodiversité, le déficit sédimentaire, l’érosion des berges, les pertes de terres agricoles</w:t>
            </w:r>
            <w:r w:rsidRPr="00C25D68">
              <w:rPr>
                <w:rFonts w:eastAsia="Times New Roman" w:cs="Arial"/>
                <w:sz w:val="16"/>
                <w:szCs w:val="16"/>
                <w:lang w:eastAsia="fr-FR"/>
              </w:rPr>
              <w:br/>
              <w:t xml:space="preserve">-Nombreuses masses d’eau souterraines dont certaines sont utilisées pour l'eau potable </w:t>
            </w:r>
            <w:r w:rsidRPr="00C25D68">
              <w:rPr>
                <w:rFonts w:eastAsia="Times New Roman" w:cs="Arial"/>
                <w:sz w:val="16"/>
                <w:szCs w:val="16"/>
                <w:lang w:eastAsia="fr-FR"/>
              </w:rPr>
              <w:br/>
              <w:t>-Nombreux ouvrages de franchissement sur les cours d'eau pouvant occasionner une rupture de continuité écologique et une accélération de l’envasement/ensablement, des seuils artisanaux associés à des stations de pompage</w:t>
            </w:r>
          </w:p>
          <w:p w14:paraId="0681ABA0"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xml:space="preserve">-Des zones d’expansion des crues sont recensées dans les vallées des gaves de Pau et d’Oloron (les </w:t>
            </w:r>
            <w:proofErr w:type="spellStart"/>
            <w:r w:rsidRPr="00C25D68">
              <w:rPr>
                <w:rFonts w:eastAsia="Times New Roman" w:cs="Arial"/>
                <w:sz w:val="16"/>
                <w:szCs w:val="16"/>
                <w:lang w:eastAsia="fr-FR"/>
              </w:rPr>
              <w:t>saligues</w:t>
            </w:r>
            <w:proofErr w:type="spellEnd"/>
            <w:r w:rsidRPr="00C25D68">
              <w:rPr>
                <w:rFonts w:eastAsia="Times New Roman" w:cs="Arial"/>
                <w:sz w:val="16"/>
                <w:szCs w:val="16"/>
                <w:lang w:eastAsia="fr-FR"/>
              </w:rPr>
              <w:t>) et dans les vallées des gaves réunis et de l’Adour (les Barthes)</w:t>
            </w:r>
            <w:r w:rsidRPr="00C25D68">
              <w:rPr>
                <w:rFonts w:eastAsia="Times New Roman" w:cs="Arial"/>
                <w:sz w:val="16"/>
                <w:szCs w:val="16"/>
                <w:lang w:eastAsia="fr-FR"/>
              </w:rPr>
              <w:br/>
              <w:t>-Les plans d’eau sont nombreux et de très petites surfaces</w:t>
            </w:r>
            <w:r w:rsidRPr="00C25D68">
              <w:rPr>
                <w:rFonts w:eastAsia="Times New Roman" w:cs="Arial"/>
                <w:sz w:val="16"/>
                <w:szCs w:val="16"/>
                <w:lang w:eastAsia="fr-FR"/>
              </w:rPr>
              <w:br/>
              <w:t>-Les zones humides présentent des formes diverses et sont présentes à tous les niveaux du territoire : zones naturelles, urbaines ou agricoles, dans les vallées ou sur les coteaux. Certaines font l’objet de zonages administratifs (ZNIEFF, NATURA2000, etc.), d’autres non. Elles sont à préserver pour leur intérêt écologique et leur rôle de rétention, de décantation et d’épuration des eaux de ruissellement.</w:t>
            </w:r>
          </w:p>
        </w:tc>
        <w:tc>
          <w:tcPr>
            <w:tcW w:w="1827" w:type="pct"/>
            <w:shd w:val="clear" w:color="auto" w:fill="DEEAF6"/>
            <w:hideMark/>
          </w:tcPr>
          <w:p w14:paraId="37A1D119"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-Destruction ou dégradation des zones humides (boisements, landes et prairies)</w:t>
            </w:r>
            <w:r w:rsidRPr="00C25D68">
              <w:rPr>
                <w:rFonts w:eastAsia="Times New Roman" w:cs="Arial"/>
                <w:sz w:val="16"/>
                <w:szCs w:val="16"/>
                <w:lang w:eastAsia="fr-FR"/>
              </w:rPr>
              <w:br/>
              <w:t>-urbanisation et anthropisation des têtes de bassins, recalibrage du lit mineur, végétalisation non adaptée des berges</w:t>
            </w:r>
            <w:r w:rsidRPr="00C25D68">
              <w:rPr>
                <w:rFonts w:eastAsia="Times New Roman" w:cs="Arial"/>
                <w:sz w:val="16"/>
                <w:szCs w:val="16"/>
                <w:lang w:eastAsia="fr-FR"/>
              </w:rPr>
              <w:br/>
              <w:t>-entretien inapproprié de la ripisylve et des berges, appropriation des berges par les particuliers (bétonnage, pesticides), plantations d’espèces inadaptées ornementales ou invasives (platane, peuplier, pins, robinier, Erable negundo, etc.), non-respect de la bande des 5 m imposée par la PAC, piétinement du bétail, curage pour drainage</w:t>
            </w:r>
            <w:r w:rsidRPr="00C25D68">
              <w:rPr>
                <w:rFonts w:eastAsia="Times New Roman" w:cs="Arial"/>
                <w:sz w:val="16"/>
                <w:szCs w:val="16"/>
                <w:lang w:eastAsia="fr-FR"/>
              </w:rPr>
              <w:br/>
              <w:t>-les extractions, les ouvrages, les suppressions des méandres , les pompages</w:t>
            </w:r>
            <w:r w:rsidRPr="00C25D68">
              <w:rPr>
                <w:rFonts w:eastAsia="Times New Roman" w:cs="Arial"/>
                <w:sz w:val="16"/>
                <w:szCs w:val="16"/>
                <w:lang w:eastAsia="fr-FR"/>
              </w:rPr>
              <w:br/>
              <w:t>-pompages, pollutions domestiques, industrielles et agricoles</w:t>
            </w:r>
            <w:r w:rsidRPr="00C25D68">
              <w:rPr>
                <w:rFonts w:eastAsia="Times New Roman" w:cs="Arial"/>
                <w:sz w:val="16"/>
                <w:szCs w:val="16"/>
                <w:lang w:eastAsia="fr-FR"/>
              </w:rPr>
              <w:br/>
              <w:t>-ouvrages de franchissement non franchissables</w:t>
            </w:r>
            <w:r w:rsidRPr="00C25D68">
              <w:rPr>
                <w:rFonts w:eastAsia="Times New Roman" w:cs="Arial"/>
                <w:sz w:val="16"/>
                <w:szCs w:val="16"/>
                <w:lang w:eastAsia="fr-FR"/>
              </w:rPr>
              <w:br/>
              <w:t>-remblais ou drainage de cours d'eau, de plans d'eau, de zones humides, en milieu naturel, en milieu agricole ou en zone urbaine</w:t>
            </w:r>
            <w:r w:rsidRPr="00C25D68">
              <w:rPr>
                <w:rFonts w:eastAsia="Times New Roman" w:cs="Arial"/>
                <w:sz w:val="16"/>
                <w:szCs w:val="16"/>
                <w:lang w:eastAsia="fr-FR"/>
              </w:rPr>
              <w:br/>
              <w:t>-Artificialisation des plans d'eau (bâches, entretien inadapté des berges, clôtures, etc.)</w:t>
            </w:r>
            <w:r w:rsidRPr="00C25D68">
              <w:rPr>
                <w:rFonts w:eastAsia="Times New Roman" w:cs="Arial"/>
                <w:sz w:val="16"/>
                <w:szCs w:val="16"/>
                <w:lang w:eastAsia="fr-FR"/>
              </w:rPr>
              <w:br/>
              <w:t>-Destruction ou dégradation des zones humides (boisements, landes et prairies)</w:t>
            </w:r>
          </w:p>
        </w:tc>
      </w:tr>
      <w:tr w:rsidR="004C1BF8" w:rsidRPr="00C25D68" w14:paraId="554C8451" w14:textId="77777777" w:rsidTr="00661FE7">
        <w:trPr>
          <w:trHeight w:val="20"/>
        </w:trPr>
        <w:tc>
          <w:tcPr>
            <w:tcW w:w="422" w:type="pct"/>
            <w:shd w:val="clear" w:color="auto" w:fill="auto"/>
            <w:hideMark/>
          </w:tcPr>
          <w:p w14:paraId="7952B539"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auto"/>
            <w:hideMark/>
          </w:tcPr>
          <w:p w14:paraId="74FF56C5"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Biodiversité et fonctionnalités des milieux</w:t>
            </w:r>
          </w:p>
        </w:tc>
        <w:tc>
          <w:tcPr>
            <w:tcW w:w="403" w:type="pct"/>
            <w:shd w:val="clear" w:color="auto" w:fill="auto"/>
            <w:hideMark/>
          </w:tcPr>
          <w:p w14:paraId="02B0C891"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Plateaux et coteaux du Pays d’</w:t>
            </w:r>
            <w:proofErr w:type="spellStart"/>
            <w:r w:rsidRPr="00C25D68">
              <w:rPr>
                <w:rFonts w:eastAsia="Times New Roman" w:cs="Arial"/>
                <w:sz w:val="16"/>
                <w:szCs w:val="16"/>
                <w:lang w:eastAsia="fr-FR"/>
              </w:rPr>
              <w:t>Orthe</w:t>
            </w:r>
            <w:proofErr w:type="spellEnd"/>
          </w:p>
        </w:tc>
        <w:tc>
          <w:tcPr>
            <w:tcW w:w="1867" w:type="pct"/>
            <w:shd w:val="clear" w:color="auto" w:fill="auto"/>
            <w:hideMark/>
          </w:tcPr>
          <w:p w14:paraId="530B2609"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-Fortes pentes boisées associés à des écoulements (boisements de pentes et boisements marécageux à préserver)</w:t>
            </w:r>
            <w:r w:rsidRPr="00C25D68">
              <w:rPr>
                <w:rFonts w:eastAsia="Times New Roman" w:cs="Arial"/>
                <w:sz w:val="16"/>
                <w:szCs w:val="16"/>
                <w:lang w:eastAsia="fr-FR"/>
              </w:rPr>
              <w:br/>
              <w:t>-Réseau hydrographique dense associé à des ripisylves ou des boisements marécageux à préserver</w:t>
            </w:r>
            <w:r w:rsidRPr="00C25D68">
              <w:rPr>
                <w:rFonts w:eastAsia="Times New Roman" w:cs="Arial"/>
                <w:sz w:val="16"/>
                <w:szCs w:val="16"/>
                <w:lang w:eastAsia="fr-FR"/>
              </w:rPr>
              <w:br/>
              <w:t xml:space="preserve">-Préserver les espaces type : boisements naturels avec sous-bois non entretenus, les landes même temporaires, les prairies naturelles fauchées ou pâturées mais non semées, les haies/alignements d'arbres/bords de routes avec végétation locale, talwegs boisés, les coteaux calcaires de Cagnotte, les pelouses sèches calcicoles,  les falaises et les tourbières boisées de </w:t>
            </w:r>
            <w:proofErr w:type="spellStart"/>
            <w:r w:rsidRPr="00C25D68">
              <w:rPr>
                <w:rFonts w:eastAsia="Times New Roman" w:cs="Arial"/>
                <w:sz w:val="16"/>
                <w:szCs w:val="16"/>
                <w:lang w:eastAsia="fr-FR"/>
              </w:rPr>
              <w:t>Pédeborde</w:t>
            </w:r>
            <w:proofErr w:type="spellEnd"/>
            <w:r w:rsidRPr="00C25D68">
              <w:rPr>
                <w:rFonts w:eastAsia="Times New Roman" w:cs="Arial"/>
                <w:sz w:val="16"/>
                <w:szCs w:val="16"/>
                <w:lang w:eastAsia="fr-FR"/>
              </w:rPr>
              <w:t>.</w:t>
            </w:r>
            <w:r w:rsidRPr="00C25D68">
              <w:rPr>
                <w:rFonts w:eastAsia="Times New Roman" w:cs="Arial"/>
                <w:sz w:val="16"/>
                <w:szCs w:val="16"/>
                <w:lang w:eastAsia="fr-FR"/>
              </w:rPr>
              <w:br/>
              <w:t>-Les zones bâties présentent un intérêt écologique en particulier pour la biodiversité ordinaire, composante à part entière de la biodiversité. L’intérêt écologique des zones bâties ou aménagées dépend des méthodes de rénovation des bâtiments utilisés par certaines espèces (hirondelles, Martinet noir, chauves-souris), de la composition des espaces verts (espèces locales vs espèces invasives) et des fréquences d’entretien.</w:t>
            </w:r>
            <w:r w:rsidRPr="00C25D68">
              <w:rPr>
                <w:rFonts w:eastAsia="Times New Roman" w:cs="Arial"/>
                <w:sz w:val="16"/>
                <w:szCs w:val="16"/>
                <w:lang w:eastAsia="fr-FR"/>
              </w:rPr>
              <w:br/>
              <w:t>-Les enjeux de sauvegarde de ces milieux sont importants pour la biodiversité (réservoirs et corridors) mais aussi pour le maintien des sols et d’une bonne qualité des milieux aquatiques.</w:t>
            </w:r>
            <w:r w:rsidRPr="00C25D68">
              <w:rPr>
                <w:rFonts w:eastAsia="Times New Roman" w:cs="Arial"/>
                <w:sz w:val="16"/>
                <w:szCs w:val="16"/>
                <w:lang w:eastAsia="fr-FR"/>
              </w:rPr>
              <w:br/>
              <w:t>-Les talwegs boisés jouent un rôle de protection contre l’érosion, constituent une zone tampon entre les pollutions issues des coteaux et les milieux aquatiques des vallées (activités agricoles, rejets urbains de type pluvial ou assainissements autonomes), constituent une zone de rétention des matières minérales issues de l’érosion des sols du plateau, constituent un réseau naturel de bassin de rétention des eaux de ruissellement des zones urbanisées.</w:t>
            </w:r>
          </w:p>
        </w:tc>
        <w:tc>
          <w:tcPr>
            <w:tcW w:w="1827" w:type="pct"/>
            <w:shd w:val="clear" w:color="auto" w:fill="auto"/>
            <w:hideMark/>
          </w:tcPr>
          <w:p w14:paraId="6DBF0C6C"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-Sélection du Robinier au détriment du cortège arborescent de la chênaie atlantique (Chêne pédonculé, Chêne tauzin, Merisier, Orme champêtre, Châtaignier)</w:t>
            </w:r>
            <w:r w:rsidRPr="00C25D68">
              <w:rPr>
                <w:rFonts w:eastAsia="Times New Roman" w:cs="Arial"/>
                <w:sz w:val="16"/>
                <w:szCs w:val="16"/>
                <w:lang w:eastAsia="fr-FR"/>
              </w:rPr>
              <w:br/>
              <w:t>-Exploitation forestière des pentes et des talwegs. Coupes et abattages autres que pour l’exploitation forestière (ouverture du paysage par exemple)</w:t>
            </w:r>
            <w:r w:rsidRPr="00C25D68">
              <w:rPr>
                <w:rFonts w:eastAsia="Times New Roman" w:cs="Arial"/>
                <w:sz w:val="16"/>
                <w:szCs w:val="16"/>
                <w:lang w:eastAsia="fr-FR"/>
              </w:rPr>
              <w:br/>
              <w:t>-Exploitation forestière des coteaux sans replantation ou avec replantation d’essences exogènes (Robinier, Chêne d’Amérique, Eucalyptus, etc.)</w:t>
            </w:r>
            <w:r w:rsidRPr="00C25D68">
              <w:rPr>
                <w:rFonts w:eastAsia="Times New Roman" w:cs="Arial"/>
                <w:sz w:val="16"/>
                <w:szCs w:val="16"/>
                <w:lang w:eastAsia="fr-FR"/>
              </w:rPr>
              <w:br/>
              <w:t>-Modification des pratiques agricoles avec soit une intensification (surpâturage, intrants, prairies semées) soit une mise en culture (maïs, tournesol, etc.), soit un abandon conduisant à l’embroussaillement du milieu (déprise).</w:t>
            </w:r>
            <w:r w:rsidRPr="00C25D68">
              <w:rPr>
                <w:rFonts w:eastAsia="Times New Roman" w:cs="Arial"/>
                <w:sz w:val="16"/>
                <w:szCs w:val="16"/>
                <w:lang w:eastAsia="fr-FR"/>
              </w:rPr>
              <w:br/>
              <w:t>-Végétalisation avec des espèces ornementales ou invasives</w:t>
            </w:r>
            <w:r w:rsidRPr="00C25D68">
              <w:rPr>
                <w:rFonts w:eastAsia="Times New Roman" w:cs="Arial"/>
                <w:sz w:val="16"/>
                <w:szCs w:val="16"/>
                <w:lang w:eastAsia="fr-FR"/>
              </w:rPr>
              <w:br/>
              <w:t>-Déchets verts dans les talwegs qui participent à la dissémination des espèces ornementales ou invasives</w:t>
            </w:r>
            <w:r w:rsidRPr="00C25D68">
              <w:rPr>
                <w:rFonts w:eastAsia="Times New Roman" w:cs="Arial"/>
                <w:sz w:val="16"/>
                <w:szCs w:val="16"/>
                <w:lang w:eastAsia="fr-FR"/>
              </w:rPr>
              <w:br/>
              <w:t>-Urbanisation des prairies de plateau, défrichements, remblaiements sauvages ou dans le cadre d’aménagements (cheminements, espaces de loisirs, équipements publics et constructions diverses), gestion inadaptée par les  riverains, espèces invasives banalisant les habitats.</w:t>
            </w:r>
            <w:r w:rsidRPr="00C25D68">
              <w:rPr>
                <w:rFonts w:eastAsia="Times New Roman" w:cs="Arial"/>
                <w:sz w:val="16"/>
                <w:szCs w:val="16"/>
                <w:lang w:eastAsia="fr-FR"/>
              </w:rPr>
              <w:br/>
              <w:t>-remblais et décharges sauvages (déchets d'entretien d'espaces verts par exemple), privatisation du sous-bois (entretien, traitements herbicides, plantations ornementales)</w:t>
            </w:r>
            <w:r w:rsidRPr="00C25D68">
              <w:rPr>
                <w:rFonts w:eastAsia="Times New Roman" w:cs="Arial"/>
                <w:sz w:val="16"/>
                <w:szCs w:val="16"/>
                <w:lang w:eastAsia="fr-FR"/>
              </w:rPr>
              <w:br/>
              <w:t>-urbaniser ces secteurs / imperméabiliser / artificialiser ces bassins de rétention naturels</w:t>
            </w:r>
          </w:p>
        </w:tc>
      </w:tr>
      <w:tr w:rsidR="004C1BF8" w:rsidRPr="00C25D68" w14:paraId="3CACF7EA" w14:textId="77777777" w:rsidTr="00661FE7">
        <w:trPr>
          <w:trHeight w:val="20"/>
        </w:trPr>
        <w:tc>
          <w:tcPr>
            <w:tcW w:w="422" w:type="pct"/>
            <w:shd w:val="clear" w:color="auto" w:fill="DEEAF6"/>
            <w:hideMark/>
          </w:tcPr>
          <w:p w14:paraId="737D05A4"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DEEAF6"/>
            <w:hideMark/>
          </w:tcPr>
          <w:p w14:paraId="1E4E6C33"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Biodiversité et fonctionnalités des milieux</w:t>
            </w:r>
          </w:p>
        </w:tc>
        <w:tc>
          <w:tcPr>
            <w:tcW w:w="403" w:type="pct"/>
            <w:shd w:val="clear" w:color="auto" w:fill="DEEAF6"/>
            <w:hideMark/>
          </w:tcPr>
          <w:p w14:paraId="4199B1AD"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Vallées des gaves</w:t>
            </w:r>
          </w:p>
        </w:tc>
        <w:tc>
          <w:tcPr>
            <w:tcW w:w="1867" w:type="pct"/>
            <w:shd w:val="clear" w:color="auto" w:fill="DEEAF6"/>
            <w:hideMark/>
          </w:tcPr>
          <w:p w14:paraId="404208D3"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-Les Gaves de Pau et d’Oloron présentent un fort intérêt piscicole, notamment en tant qu’axe de circulation des poissons migrateurs</w:t>
            </w:r>
            <w:r w:rsidRPr="00C25D68">
              <w:rPr>
                <w:rFonts w:eastAsia="Times New Roman" w:cs="Arial"/>
                <w:sz w:val="16"/>
                <w:szCs w:val="16"/>
                <w:lang w:eastAsia="fr-FR"/>
              </w:rPr>
              <w:br/>
              <w:t xml:space="preserve">-Ces milieux (fleuves, </w:t>
            </w:r>
            <w:proofErr w:type="spellStart"/>
            <w:r w:rsidRPr="00C25D68">
              <w:rPr>
                <w:rFonts w:eastAsia="Times New Roman" w:cs="Arial"/>
                <w:sz w:val="16"/>
                <w:szCs w:val="16"/>
                <w:lang w:eastAsia="fr-FR"/>
              </w:rPr>
              <w:t>barthes</w:t>
            </w:r>
            <w:proofErr w:type="spellEnd"/>
            <w:r w:rsidRPr="00C25D68">
              <w:rPr>
                <w:rFonts w:eastAsia="Times New Roman" w:cs="Arial"/>
                <w:sz w:val="16"/>
                <w:szCs w:val="16"/>
                <w:lang w:eastAsia="fr-FR"/>
              </w:rPr>
              <w:t xml:space="preserve">, </w:t>
            </w:r>
            <w:proofErr w:type="spellStart"/>
            <w:r w:rsidRPr="00C25D68">
              <w:rPr>
                <w:rFonts w:eastAsia="Times New Roman" w:cs="Arial"/>
                <w:sz w:val="16"/>
                <w:szCs w:val="16"/>
                <w:lang w:eastAsia="fr-FR"/>
              </w:rPr>
              <w:t>saligues</w:t>
            </w:r>
            <w:proofErr w:type="spellEnd"/>
            <w:r w:rsidRPr="00C25D68">
              <w:rPr>
                <w:rFonts w:eastAsia="Times New Roman" w:cs="Arial"/>
                <w:sz w:val="16"/>
                <w:szCs w:val="16"/>
                <w:lang w:eastAsia="fr-FR"/>
              </w:rPr>
              <w:t>, ripisylves) présentent un intérêt écologique très fort. Ils font tous l’objet de mesures de protections réglementaires à l’échelle nationale ou européenne. D’autres parts ils jouent de nombreuses fonctions écologiques :</w:t>
            </w:r>
            <w:r w:rsidRPr="00C25D68">
              <w:rPr>
                <w:rFonts w:eastAsia="Times New Roman" w:cs="Arial"/>
                <w:sz w:val="16"/>
                <w:szCs w:val="16"/>
                <w:lang w:eastAsia="fr-FR"/>
              </w:rPr>
              <w:br/>
              <w:t>-- Habitats d’espèces animales et végétales protégées</w:t>
            </w:r>
            <w:r w:rsidRPr="00C25D68">
              <w:rPr>
                <w:rFonts w:eastAsia="Times New Roman" w:cs="Arial"/>
                <w:sz w:val="16"/>
                <w:szCs w:val="16"/>
                <w:lang w:eastAsia="fr-FR"/>
              </w:rPr>
              <w:br/>
              <w:t>--Zones d’hivernage et de nidification des oiseaux</w:t>
            </w:r>
            <w:r w:rsidRPr="00C25D68">
              <w:rPr>
                <w:rFonts w:eastAsia="Times New Roman" w:cs="Arial"/>
                <w:sz w:val="16"/>
                <w:szCs w:val="16"/>
                <w:lang w:eastAsia="fr-FR"/>
              </w:rPr>
              <w:br/>
              <w:t>--Composantes importantes des trames vertes et bleues (corridors écologiques et réservoirs de biodiversité)</w:t>
            </w:r>
            <w:r w:rsidRPr="00C25D68">
              <w:rPr>
                <w:rFonts w:eastAsia="Times New Roman" w:cs="Arial"/>
                <w:sz w:val="16"/>
                <w:szCs w:val="16"/>
                <w:lang w:eastAsia="fr-FR"/>
              </w:rPr>
              <w:br/>
              <w:t>--Régulation des débits des eaux superficielles (écrêtement des crues, soutien des étiages)</w:t>
            </w:r>
            <w:r w:rsidRPr="00C25D68">
              <w:rPr>
                <w:rFonts w:eastAsia="Times New Roman" w:cs="Arial"/>
                <w:sz w:val="16"/>
                <w:szCs w:val="16"/>
                <w:lang w:eastAsia="fr-FR"/>
              </w:rPr>
              <w:br/>
              <w:t>--Filtration et épuration des eaux (dénitrification, piégeage et stockage des sédiments, filtration des polluants)</w:t>
            </w:r>
            <w:r w:rsidRPr="00C25D68">
              <w:rPr>
                <w:rFonts w:eastAsia="Times New Roman" w:cs="Arial"/>
                <w:sz w:val="16"/>
                <w:szCs w:val="16"/>
                <w:lang w:eastAsia="fr-FR"/>
              </w:rPr>
              <w:br/>
              <w:t xml:space="preserve">-Les </w:t>
            </w:r>
            <w:proofErr w:type="spellStart"/>
            <w:r w:rsidRPr="00C25D68">
              <w:rPr>
                <w:rFonts w:eastAsia="Times New Roman" w:cs="Arial"/>
                <w:sz w:val="16"/>
                <w:szCs w:val="16"/>
                <w:lang w:eastAsia="fr-FR"/>
              </w:rPr>
              <w:t>Saligues</w:t>
            </w:r>
            <w:proofErr w:type="spellEnd"/>
            <w:r w:rsidRPr="00C25D68">
              <w:rPr>
                <w:rFonts w:eastAsia="Times New Roman" w:cs="Arial"/>
                <w:sz w:val="16"/>
                <w:szCs w:val="16"/>
                <w:lang w:eastAsia="fr-FR"/>
              </w:rPr>
              <w:t xml:space="preserve"> sont des milieux particuliers liés aux divagations naturelles du cours d’eau</w:t>
            </w:r>
            <w:r w:rsidRPr="00C25D68">
              <w:rPr>
                <w:rFonts w:eastAsia="Times New Roman" w:cs="Arial"/>
                <w:sz w:val="16"/>
                <w:szCs w:val="16"/>
                <w:lang w:eastAsia="fr-FR"/>
              </w:rPr>
              <w:br/>
              <w:t>-Milieux/espèces à enjeu supra régionaux : Barthes, axes de migration des poissons et de l’avifaune, zone d’hivernage avifaune, espèces végétales (Angélique des estuaires), animales (Vison, Loutre, Cistude, Cuivré des marais, chiroptères…) et conservation des autres espèces et habitats d’intérêt</w:t>
            </w:r>
          </w:p>
        </w:tc>
        <w:tc>
          <w:tcPr>
            <w:tcW w:w="1827" w:type="pct"/>
            <w:shd w:val="clear" w:color="auto" w:fill="DEEAF6"/>
            <w:hideMark/>
          </w:tcPr>
          <w:p w14:paraId="40594B5D"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Pollution des eaux</w:t>
            </w:r>
            <w:r w:rsidRPr="00C25D68">
              <w:rPr>
                <w:rFonts w:eastAsia="Times New Roman" w:cs="Arial"/>
                <w:sz w:val="16"/>
                <w:szCs w:val="16"/>
                <w:lang w:eastAsia="fr-FR"/>
              </w:rPr>
              <w:br/>
              <w:t>Pressions anthropiques</w:t>
            </w:r>
            <w:r w:rsidRPr="00C25D68">
              <w:rPr>
                <w:rFonts w:eastAsia="Times New Roman" w:cs="Arial"/>
                <w:sz w:val="16"/>
                <w:szCs w:val="16"/>
                <w:lang w:eastAsia="fr-FR"/>
              </w:rPr>
              <w:br/>
              <w:t>Agriculture intensive</w:t>
            </w:r>
            <w:r w:rsidRPr="00C25D68">
              <w:rPr>
                <w:rFonts w:eastAsia="Times New Roman" w:cs="Arial"/>
                <w:sz w:val="16"/>
                <w:szCs w:val="16"/>
                <w:lang w:eastAsia="fr-FR"/>
              </w:rPr>
              <w:br/>
              <w:t xml:space="preserve">Les </w:t>
            </w:r>
            <w:proofErr w:type="spellStart"/>
            <w:r w:rsidRPr="00C25D68">
              <w:rPr>
                <w:rFonts w:eastAsia="Times New Roman" w:cs="Arial"/>
                <w:sz w:val="16"/>
                <w:szCs w:val="16"/>
                <w:lang w:eastAsia="fr-FR"/>
              </w:rPr>
              <w:t>Saligues</w:t>
            </w:r>
            <w:proofErr w:type="spellEnd"/>
            <w:r w:rsidRPr="00C25D68">
              <w:rPr>
                <w:rFonts w:eastAsia="Times New Roman" w:cs="Arial"/>
                <w:sz w:val="16"/>
                <w:szCs w:val="16"/>
                <w:lang w:eastAsia="fr-FR"/>
              </w:rPr>
              <w:t xml:space="preserve"> sont menacés par l’exploitation des carrières, la canalisation du fleuve et le remplacement de la biodiversité végétale par les espèces végétales invasives (les </w:t>
            </w:r>
            <w:proofErr w:type="spellStart"/>
            <w:r w:rsidRPr="00C25D68">
              <w:rPr>
                <w:rFonts w:eastAsia="Times New Roman" w:cs="Arial"/>
                <w:sz w:val="16"/>
                <w:szCs w:val="16"/>
                <w:lang w:eastAsia="fr-FR"/>
              </w:rPr>
              <w:t>jussies</w:t>
            </w:r>
            <w:proofErr w:type="spellEnd"/>
            <w:r w:rsidRPr="00C25D68">
              <w:rPr>
                <w:rFonts w:eastAsia="Times New Roman" w:cs="Arial"/>
                <w:sz w:val="16"/>
                <w:szCs w:val="16"/>
                <w:lang w:eastAsia="fr-FR"/>
              </w:rPr>
              <w:t>, Myriophylle du Brésil, Erable negundo, Noyer du Caucase, Renouée du Japon, etc.)</w:t>
            </w:r>
          </w:p>
        </w:tc>
      </w:tr>
      <w:tr w:rsidR="004C1BF8" w:rsidRPr="00C25D68" w14:paraId="4723A0AE" w14:textId="77777777" w:rsidTr="00661FE7">
        <w:trPr>
          <w:trHeight w:val="20"/>
        </w:trPr>
        <w:tc>
          <w:tcPr>
            <w:tcW w:w="422" w:type="pct"/>
            <w:shd w:val="clear" w:color="auto" w:fill="auto"/>
            <w:hideMark/>
          </w:tcPr>
          <w:p w14:paraId="52AFB0A3"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auto"/>
            <w:hideMark/>
          </w:tcPr>
          <w:p w14:paraId="391834E2"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Biodiversité et fonctionnalités des milieux</w:t>
            </w:r>
          </w:p>
        </w:tc>
        <w:tc>
          <w:tcPr>
            <w:tcW w:w="403" w:type="pct"/>
            <w:shd w:val="clear" w:color="auto" w:fill="auto"/>
            <w:hideMark/>
          </w:tcPr>
          <w:p w14:paraId="70B18981"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Barthes de l’Adour</w:t>
            </w:r>
          </w:p>
        </w:tc>
        <w:tc>
          <w:tcPr>
            <w:tcW w:w="1867" w:type="pct"/>
            <w:shd w:val="clear" w:color="auto" w:fill="auto"/>
            <w:hideMark/>
          </w:tcPr>
          <w:p w14:paraId="65F51E09"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-Rôle hydraulique important par la réduction du temps et des phénomènes d’inondation</w:t>
            </w:r>
          </w:p>
        </w:tc>
        <w:tc>
          <w:tcPr>
            <w:tcW w:w="1827" w:type="pct"/>
            <w:shd w:val="clear" w:color="auto" w:fill="auto"/>
            <w:hideMark/>
          </w:tcPr>
          <w:p w14:paraId="078E28FF"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-Pressions anthropiques</w:t>
            </w:r>
            <w:r w:rsidRPr="00C25D68">
              <w:rPr>
                <w:rFonts w:eastAsia="Times New Roman" w:cs="Arial"/>
                <w:sz w:val="16"/>
                <w:szCs w:val="16"/>
                <w:lang w:eastAsia="fr-FR"/>
              </w:rPr>
              <w:br/>
              <w:t>-Gestion inadaptée des milieux proches des habitations : nettoiement du sous-bois, emploi d’herbicides, dates et fréquence de fauche, plantation d’espèces exogènes voire invasives…</w:t>
            </w:r>
            <w:r w:rsidRPr="00C25D68">
              <w:rPr>
                <w:rFonts w:eastAsia="Times New Roman" w:cs="Arial"/>
                <w:sz w:val="16"/>
                <w:szCs w:val="16"/>
                <w:lang w:eastAsia="fr-FR"/>
              </w:rPr>
              <w:br/>
              <w:t>-Déprise des activités agricoles conduisant à l’abandon des prairies naturelles, intensification avec transformation des prairies naturelles en prairies semées ou cultures, disparition de haies</w:t>
            </w:r>
            <w:r w:rsidRPr="00C25D68">
              <w:rPr>
                <w:rFonts w:eastAsia="Times New Roman" w:cs="Arial"/>
                <w:sz w:val="16"/>
                <w:szCs w:val="16"/>
                <w:lang w:eastAsia="fr-FR"/>
              </w:rPr>
              <w:br/>
              <w:t>-Activités sylvicoles : transformation de boisements alluviaux ou de prairies en peupleraies, exploitation des aulnaies</w:t>
            </w:r>
            <w:r w:rsidRPr="00C25D68">
              <w:rPr>
                <w:rFonts w:eastAsia="Times New Roman" w:cs="Arial"/>
                <w:sz w:val="16"/>
                <w:szCs w:val="16"/>
                <w:lang w:eastAsia="fr-FR"/>
              </w:rPr>
              <w:br/>
              <w:t xml:space="preserve">-Problématique de protection des inondations pour les habitations le long de l’Adour : elle limite depuis longtemps les échanges directs entre le fleuve et les </w:t>
            </w:r>
            <w:proofErr w:type="spellStart"/>
            <w:r w:rsidRPr="00C25D68">
              <w:rPr>
                <w:rFonts w:eastAsia="Times New Roman" w:cs="Arial"/>
                <w:sz w:val="16"/>
                <w:szCs w:val="16"/>
                <w:lang w:eastAsia="fr-FR"/>
              </w:rPr>
              <w:t>barthes</w:t>
            </w:r>
            <w:proofErr w:type="spellEnd"/>
            <w:r w:rsidRPr="00C25D68">
              <w:rPr>
                <w:rFonts w:eastAsia="Times New Roman" w:cs="Arial"/>
                <w:sz w:val="16"/>
                <w:szCs w:val="16"/>
                <w:lang w:eastAsia="fr-FR"/>
              </w:rPr>
              <w:t>. Cette contrainte rend indispensable la restauration ou l’amélioration de la transparence pour la faune piscicole des ouvrages à l’interface entre le fleuve et les canaux, ces derniers assurant seuls aujourd’hui l’essentiel des échanges réguliers entre le fleuve et sa plaine alluviale.</w:t>
            </w:r>
            <w:r w:rsidRPr="00C25D68">
              <w:rPr>
                <w:rFonts w:eastAsia="Times New Roman" w:cs="Arial"/>
                <w:sz w:val="16"/>
                <w:szCs w:val="16"/>
                <w:lang w:eastAsia="fr-FR"/>
              </w:rPr>
              <w:br/>
              <w:t>-Activités de loisirs (sentiers, pression de chasse plus ou moins marquée selon les secteurs)</w:t>
            </w:r>
            <w:r w:rsidRPr="00C25D68">
              <w:rPr>
                <w:rFonts w:eastAsia="Times New Roman" w:cs="Arial"/>
                <w:sz w:val="16"/>
                <w:szCs w:val="16"/>
                <w:lang w:eastAsia="fr-FR"/>
              </w:rPr>
              <w:br/>
              <w:t>-Remblaiements sauvages et drainage des parcelles, atteinte de la morphologie des milieux aquatiques (endiguement, reprofilage, curage)</w:t>
            </w:r>
            <w:r w:rsidRPr="00C25D68">
              <w:rPr>
                <w:rFonts w:eastAsia="Times New Roman" w:cs="Arial"/>
                <w:sz w:val="16"/>
                <w:szCs w:val="16"/>
                <w:lang w:eastAsia="fr-FR"/>
              </w:rPr>
              <w:br/>
              <w:t xml:space="preserve">-Présence des espèces végétales invasives : les </w:t>
            </w:r>
            <w:proofErr w:type="spellStart"/>
            <w:r w:rsidRPr="00C25D68">
              <w:rPr>
                <w:rFonts w:eastAsia="Times New Roman" w:cs="Arial"/>
                <w:sz w:val="16"/>
                <w:szCs w:val="16"/>
                <w:lang w:eastAsia="fr-FR"/>
              </w:rPr>
              <w:t>jussies</w:t>
            </w:r>
            <w:proofErr w:type="spellEnd"/>
            <w:r w:rsidRPr="00C25D68">
              <w:rPr>
                <w:rFonts w:eastAsia="Times New Roman" w:cs="Arial"/>
                <w:sz w:val="16"/>
                <w:szCs w:val="16"/>
                <w:lang w:eastAsia="fr-FR"/>
              </w:rPr>
              <w:t>, Myriophylle du Brésil, Erable negundo, Noyer du Caucase, Renouée du Japon, etc. mais aussi des espèces animales : les écrevisses américaines, Tortue de Floride, Vison d’Amérique, etc.</w:t>
            </w:r>
          </w:p>
          <w:p w14:paraId="73C77D6C"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-Altération de la qualité des eaux des canaux limitant la présence des espèces : problèmes de taux d’oxygène, eaux croupissantes et dépourvues de végétation aquatique</w:t>
            </w:r>
            <w:r w:rsidRPr="00C25D68">
              <w:rPr>
                <w:rFonts w:eastAsia="Times New Roman" w:cs="Arial"/>
                <w:sz w:val="16"/>
                <w:szCs w:val="16"/>
                <w:lang w:eastAsia="fr-FR"/>
              </w:rPr>
              <w:br/>
              <w:t>-Difficulté des échanges latéraux entre lit mineur/lit majeur liés aux aménagements hydrauliques, aux infrastructures (éléments de mortalité de la faune), à la présence de milieux peu perméables pour certaines espèces : ripisylves peu fonctionnelles, cultures, absence de haies</w:t>
            </w:r>
          </w:p>
        </w:tc>
      </w:tr>
      <w:tr w:rsidR="004C1BF8" w:rsidRPr="00C25D68" w14:paraId="27A8BF15" w14:textId="77777777" w:rsidTr="00661FE7">
        <w:trPr>
          <w:trHeight w:val="20"/>
        </w:trPr>
        <w:tc>
          <w:tcPr>
            <w:tcW w:w="422" w:type="pct"/>
            <w:shd w:val="clear" w:color="auto" w:fill="DEEAF6"/>
            <w:hideMark/>
          </w:tcPr>
          <w:p w14:paraId="3CD80435"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DEEAF6"/>
            <w:hideMark/>
          </w:tcPr>
          <w:p w14:paraId="46264CA8"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Biodiversité et fonctionnalités des milieux</w:t>
            </w:r>
          </w:p>
        </w:tc>
        <w:tc>
          <w:tcPr>
            <w:tcW w:w="403" w:type="pct"/>
            <w:shd w:val="clear" w:color="auto" w:fill="DEEAF6"/>
            <w:hideMark/>
          </w:tcPr>
          <w:p w14:paraId="465795FC"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Fleuve Adour</w:t>
            </w:r>
          </w:p>
        </w:tc>
        <w:tc>
          <w:tcPr>
            <w:tcW w:w="1867" w:type="pct"/>
            <w:shd w:val="clear" w:color="auto" w:fill="DEEAF6"/>
            <w:hideMark/>
          </w:tcPr>
          <w:p w14:paraId="2921ACEE"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 xml:space="preserve">-L’Adour a par ailleurs été identifié comme « zone prioritaire d’action » </w:t>
            </w:r>
            <w:proofErr w:type="gramStart"/>
            <w:r w:rsidRPr="00C25D68">
              <w:rPr>
                <w:rFonts w:eastAsia="Times New Roman" w:cs="Arial"/>
                <w:sz w:val="16"/>
                <w:szCs w:val="16"/>
                <w:lang w:eastAsia="fr-FR"/>
              </w:rPr>
              <w:t>dans  PLAGEPOMI</w:t>
            </w:r>
            <w:proofErr w:type="gramEnd"/>
            <w:r w:rsidRPr="00C25D68">
              <w:rPr>
                <w:rFonts w:eastAsia="Times New Roman" w:cs="Arial"/>
                <w:sz w:val="16"/>
                <w:szCs w:val="16"/>
                <w:lang w:eastAsia="fr-FR"/>
              </w:rPr>
              <w:t xml:space="preserve"> qui a pour objectif de restaurer la perméabilité des ouvrages (porte à flots et à clapets) à la migration des poissons, et en particulier pour l’Anguille (Anguilla </w:t>
            </w:r>
            <w:proofErr w:type="spellStart"/>
            <w:r w:rsidRPr="00C25D68">
              <w:rPr>
                <w:rFonts w:eastAsia="Times New Roman" w:cs="Arial"/>
                <w:sz w:val="16"/>
                <w:szCs w:val="16"/>
                <w:lang w:eastAsia="fr-FR"/>
              </w:rPr>
              <w:t>anguilla</w:t>
            </w:r>
            <w:proofErr w:type="spellEnd"/>
            <w:r w:rsidRPr="00C25D68">
              <w:rPr>
                <w:rFonts w:eastAsia="Times New Roman" w:cs="Arial"/>
                <w:sz w:val="16"/>
                <w:szCs w:val="16"/>
                <w:lang w:eastAsia="fr-FR"/>
              </w:rPr>
              <w:t>). En effet, cette partie de l’Adour recense « les premiers obstacles à la migration des poissons » : portes à flots et portes à clapets.</w:t>
            </w:r>
            <w:r w:rsidRPr="00C25D68">
              <w:rPr>
                <w:rFonts w:eastAsia="Times New Roman" w:cs="Arial"/>
                <w:sz w:val="16"/>
                <w:szCs w:val="16"/>
                <w:lang w:eastAsia="fr-FR"/>
              </w:rPr>
              <w:br/>
              <w:t>-Les principaux enjeux concernent la conservation des milieux/espèces à enjeu supra régionaux : axes de migration des poissons, espèces végétales (Angélique des estuaires), animales (Vison, Loutre) et conservation des autres espèces et habitats d’intérêt.</w:t>
            </w:r>
            <w:r w:rsidRPr="00C25D68">
              <w:rPr>
                <w:rFonts w:eastAsia="Times New Roman" w:cs="Arial"/>
                <w:sz w:val="16"/>
                <w:szCs w:val="16"/>
                <w:lang w:eastAsia="fr-FR"/>
              </w:rPr>
              <w:br/>
              <w:t>-Ces enjeux de conservation passent en particulier par la préservation du contexte hydrodynamique et l’amélioration de la qualité de l’eau, la restauration de la libre circulation des poissons migrateurs, la limitation des effets des espèces invasives et la prise en compte des habitats et espèces associées dans l’ensemble des travaux (entretien des digues, voies vertes, etc.).</w:t>
            </w:r>
          </w:p>
        </w:tc>
        <w:tc>
          <w:tcPr>
            <w:tcW w:w="1827" w:type="pct"/>
            <w:shd w:val="clear" w:color="auto" w:fill="DEEAF6"/>
            <w:hideMark/>
          </w:tcPr>
          <w:p w14:paraId="0BF3EBC6"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-Une des principales menaces concerne la problématique de qualité de l’eau : l’état chimique de la masse d’eau estuaire aval de l’Adour est en effet donné comme mauvais par le SDAGE 2010-2015 avec un bon potentiel écologique provisoire. Les objectifs de bon état chimique et global et de bon potentiel écologique sont fixés à 2021. Les pressions qui s’exercent sur la masse d’eau sont fortes, qu’il s’agisse de pressions polluantes (rejets urbains, industriels ou agricoles), sur le vivant (prélèvements) ou morphologiques (artificialisation et aménagement du lit du fleuve, dragage).</w:t>
            </w:r>
            <w:r w:rsidRPr="00C25D68">
              <w:rPr>
                <w:rFonts w:eastAsia="Times New Roman" w:cs="Arial"/>
                <w:sz w:val="16"/>
                <w:szCs w:val="16"/>
                <w:lang w:eastAsia="fr-FR"/>
              </w:rPr>
              <w:br/>
              <w:t>-Les menaces sont également liées au développement d’espèces invasives (berges) : Noyer du Caucase (…), Erable negundo (Acer negundo), Renouée du Japon (</w:t>
            </w:r>
            <w:proofErr w:type="spellStart"/>
            <w:r w:rsidRPr="00C25D68">
              <w:rPr>
                <w:rFonts w:eastAsia="Times New Roman" w:cs="Arial"/>
                <w:sz w:val="16"/>
                <w:szCs w:val="16"/>
                <w:lang w:eastAsia="fr-FR"/>
              </w:rPr>
              <w:t>Reynoutria</w:t>
            </w:r>
            <w:proofErr w:type="spellEnd"/>
            <w:r w:rsidRPr="00C25D68">
              <w:rPr>
                <w:rFonts w:eastAsia="Times New Roman" w:cs="Arial"/>
                <w:sz w:val="16"/>
                <w:szCs w:val="16"/>
                <w:lang w:eastAsia="fr-FR"/>
              </w:rPr>
              <w:t xml:space="preserve"> </w:t>
            </w:r>
            <w:proofErr w:type="spellStart"/>
            <w:r w:rsidRPr="00C25D68">
              <w:rPr>
                <w:rFonts w:eastAsia="Times New Roman" w:cs="Arial"/>
                <w:sz w:val="16"/>
                <w:szCs w:val="16"/>
                <w:lang w:eastAsia="fr-FR"/>
              </w:rPr>
              <w:t>japonica</w:t>
            </w:r>
            <w:proofErr w:type="spellEnd"/>
            <w:r w:rsidRPr="00C25D68">
              <w:rPr>
                <w:rFonts w:eastAsia="Times New Roman" w:cs="Arial"/>
                <w:sz w:val="16"/>
                <w:szCs w:val="16"/>
                <w:lang w:eastAsia="fr-FR"/>
              </w:rPr>
              <w:t>), Arbre à papillons (</w:t>
            </w:r>
            <w:proofErr w:type="spellStart"/>
            <w:r w:rsidRPr="00C25D68">
              <w:rPr>
                <w:rFonts w:eastAsia="Times New Roman" w:cs="Arial"/>
                <w:sz w:val="16"/>
                <w:szCs w:val="16"/>
                <w:lang w:eastAsia="fr-FR"/>
              </w:rPr>
              <w:t>Buddleja</w:t>
            </w:r>
            <w:proofErr w:type="spellEnd"/>
            <w:r w:rsidRPr="00C25D68">
              <w:rPr>
                <w:rFonts w:eastAsia="Times New Roman" w:cs="Arial"/>
                <w:sz w:val="16"/>
                <w:szCs w:val="16"/>
                <w:lang w:eastAsia="fr-FR"/>
              </w:rPr>
              <w:t xml:space="preserve"> </w:t>
            </w:r>
            <w:proofErr w:type="spellStart"/>
            <w:r w:rsidRPr="00C25D68">
              <w:rPr>
                <w:rFonts w:eastAsia="Times New Roman" w:cs="Arial"/>
                <w:sz w:val="16"/>
                <w:szCs w:val="16"/>
                <w:lang w:eastAsia="fr-FR"/>
              </w:rPr>
              <w:t>davidii</w:t>
            </w:r>
            <w:proofErr w:type="spellEnd"/>
            <w:r w:rsidRPr="00C25D68">
              <w:rPr>
                <w:rFonts w:eastAsia="Times New Roman" w:cs="Arial"/>
                <w:sz w:val="16"/>
                <w:szCs w:val="16"/>
                <w:lang w:eastAsia="fr-FR"/>
              </w:rPr>
              <w:t>), Herbe de la pampa (</w:t>
            </w:r>
            <w:proofErr w:type="spellStart"/>
            <w:r w:rsidRPr="00C25D68">
              <w:rPr>
                <w:rFonts w:eastAsia="Times New Roman" w:cs="Arial"/>
                <w:sz w:val="16"/>
                <w:szCs w:val="16"/>
                <w:lang w:eastAsia="fr-FR"/>
              </w:rPr>
              <w:t>Cortaderia</w:t>
            </w:r>
            <w:proofErr w:type="spellEnd"/>
            <w:r w:rsidRPr="00C25D68">
              <w:rPr>
                <w:rFonts w:eastAsia="Times New Roman" w:cs="Arial"/>
                <w:sz w:val="16"/>
                <w:szCs w:val="16"/>
                <w:lang w:eastAsia="fr-FR"/>
              </w:rPr>
              <w:t xml:space="preserve"> </w:t>
            </w:r>
            <w:proofErr w:type="spellStart"/>
            <w:r w:rsidRPr="00C25D68">
              <w:rPr>
                <w:rFonts w:eastAsia="Times New Roman" w:cs="Arial"/>
                <w:sz w:val="16"/>
                <w:szCs w:val="16"/>
                <w:lang w:eastAsia="fr-FR"/>
              </w:rPr>
              <w:t>selloana</w:t>
            </w:r>
            <w:proofErr w:type="spellEnd"/>
            <w:r w:rsidRPr="00C25D68">
              <w:rPr>
                <w:rFonts w:eastAsia="Times New Roman" w:cs="Arial"/>
                <w:sz w:val="16"/>
                <w:szCs w:val="16"/>
                <w:lang w:eastAsia="fr-FR"/>
              </w:rPr>
              <w:t>). L’Adour constitue par ailleurs un corridor de déplacement pour ces espèces végétales mais aussi par exemple pour le Vison d’Amérique.</w:t>
            </w:r>
            <w:r w:rsidRPr="00C25D68">
              <w:rPr>
                <w:rFonts w:eastAsia="Times New Roman" w:cs="Arial"/>
                <w:sz w:val="16"/>
                <w:szCs w:val="16"/>
                <w:lang w:eastAsia="fr-FR"/>
              </w:rPr>
              <w:br/>
              <w:t xml:space="preserve">-Enfin, la présence de nombreuses habitations et des infrastructures en arrière de la digue, pouvant entraîner une gestion inadaptée des berges : destruction d’espèces lors des travaux d’entretien, emploi d’herbicides, dates et fréquences de fauche, fauche de la berge du lit mineur, plantation d’espèces exogènes voire invasives.   </w:t>
            </w:r>
          </w:p>
        </w:tc>
      </w:tr>
      <w:tr w:rsidR="004C1BF8" w:rsidRPr="00C25D68" w14:paraId="45C4E1CB" w14:textId="77777777" w:rsidTr="00661FE7">
        <w:trPr>
          <w:trHeight w:val="20"/>
        </w:trPr>
        <w:tc>
          <w:tcPr>
            <w:tcW w:w="422" w:type="pct"/>
            <w:shd w:val="clear" w:color="auto" w:fill="auto"/>
            <w:hideMark/>
          </w:tcPr>
          <w:p w14:paraId="0FB74C4B"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auto"/>
            <w:hideMark/>
          </w:tcPr>
          <w:p w14:paraId="05F68D8D"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Biodiversité et fonctionnalités des milieux</w:t>
            </w:r>
          </w:p>
        </w:tc>
        <w:tc>
          <w:tcPr>
            <w:tcW w:w="403" w:type="pct"/>
            <w:shd w:val="clear" w:color="auto" w:fill="auto"/>
            <w:hideMark/>
          </w:tcPr>
          <w:p w14:paraId="5EA10574"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Zones urbaines</w:t>
            </w:r>
          </w:p>
        </w:tc>
        <w:tc>
          <w:tcPr>
            <w:tcW w:w="1867" w:type="pct"/>
            <w:shd w:val="clear" w:color="auto" w:fill="auto"/>
            <w:hideMark/>
          </w:tcPr>
          <w:p w14:paraId="625B2BEC"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-Les espèces animales associées aux habitations et plus généralement aux milieux urbains créés par l’Homme. Ces milieux peuvent accueillir des espèces animales ou végétales protégées et leur destruction est interdite</w:t>
            </w:r>
            <w:r w:rsidRPr="00C25D68">
              <w:rPr>
                <w:rFonts w:eastAsia="Times New Roman" w:cs="Arial"/>
                <w:sz w:val="16"/>
                <w:szCs w:val="16"/>
                <w:lang w:eastAsia="fr-FR"/>
              </w:rPr>
              <w:br/>
              <w:t>-Les haies arborescentes de Chêne pédonculé ou d’Erable champêtre. Composition menacée par le Robinier et l’utilisation d’espèces ornementale et/ou envahissantes (bambous, Herbe de la Pampa, Arbre à papillons, etc.)</w:t>
            </w:r>
            <w:r w:rsidRPr="00C25D68">
              <w:rPr>
                <w:rFonts w:eastAsia="Times New Roman" w:cs="Arial"/>
                <w:sz w:val="16"/>
                <w:szCs w:val="16"/>
                <w:lang w:eastAsia="fr-FR"/>
              </w:rPr>
              <w:br/>
              <w:t>-Les parcs boisés privés composés de vieux arbres</w:t>
            </w:r>
            <w:r w:rsidRPr="00C25D68">
              <w:rPr>
                <w:rFonts w:eastAsia="Times New Roman" w:cs="Arial"/>
                <w:sz w:val="16"/>
                <w:szCs w:val="16"/>
                <w:lang w:eastAsia="fr-FR"/>
              </w:rPr>
              <w:br/>
              <w:t>-Les bords de routes et fossés sont des milieux riches, grâce notamment à l’arrêt de l’utilisation des pesticides et à la gestion différenciée des espaces verts des collectivités. Ils jouent un rôle de corridor dans les trames vertes.</w:t>
            </w:r>
          </w:p>
        </w:tc>
        <w:tc>
          <w:tcPr>
            <w:tcW w:w="1827" w:type="pct"/>
            <w:shd w:val="clear" w:color="auto" w:fill="auto"/>
            <w:hideMark/>
          </w:tcPr>
          <w:p w14:paraId="5EB0F571"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-La densification de l’urbanisation avec, les clôtures, la disparition des espaces de végétation peu ou pas entretenus</w:t>
            </w:r>
            <w:r w:rsidRPr="00C25D68">
              <w:rPr>
                <w:rFonts w:eastAsia="Times New Roman" w:cs="Arial"/>
                <w:sz w:val="16"/>
                <w:szCs w:val="16"/>
                <w:lang w:eastAsia="fr-FR"/>
              </w:rPr>
              <w:br/>
              <w:t>-L’uniformisation des plantations urbaines avec l’utilisation d’espèces végétales ornementales au détriment d’espèces végétales réellement locales</w:t>
            </w:r>
            <w:r w:rsidRPr="00C25D68">
              <w:rPr>
                <w:rFonts w:eastAsia="Times New Roman" w:cs="Arial"/>
                <w:sz w:val="16"/>
                <w:szCs w:val="16"/>
                <w:lang w:eastAsia="fr-FR"/>
              </w:rPr>
              <w:br/>
              <w:t>-Le maintien et l’utilisation d’espèces végétales invasives parmi les espèces ornementales</w:t>
            </w:r>
            <w:r w:rsidRPr="00C25D68">
              <w:rPr>
                <w:rFonts w:eastAsia="Times New Roman" w:cs="Arial"/>
                <w:sz w:val="16"/>
                <w:szCs w:val="16"/>
                <w:lang w:eastAsia="fr-FR"/>
              </w:rPr>
              <w:br/>
              <w:t>-La destruction volontaire ou non de la biodiversité ordinaire (décrochement des nids d’hirondelles, rénovation des toitures des bâtiments)</w:t>
            </w:r>
          </w:p>
        </w:tc>
      </w:tr>
      <w:tr w:rsidR="004C1BF8" w:rsidRPr="00C25D68" w14:paraId="526370C8" w14:textId="77777777" w:rsidTr="00661FE7">
        <w:trPr>
          <w:trHeight w:val="20"/>
        </w:trPr>
        <w:tc>
          <w:tcPr>
            <w:tcW w:w="422" w:type="pct"/>
            <w:shd w:val="clear" w:color="auto" w:fill="DEEAF6"/>
            <w:hideMark/>
          </w:tcPr>
          <w:p w14:paraId="2D16F83F"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DEEAF6"/>
            <w:hideMark/>
          </w:tcPr>
          <w:p w14:paraId="653E5802"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Biodiversité et fonctionnalités des milieux</w:t>
            </w:r>
          </w:p>
        </w:tc>
        <w:tc>
          <w:tcPr>
            <w:tcW w:w="403" w:type="pct"/>
            <w:shd w:val="clear" w:color="auto" w:fill="DEEAF6"/>
            <w:hideMark/>
          </w:tcPr>
          <w:p w14:paraId="23C33DBD"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Tous milieux confondus</w:t>
            </w:r>
          </w:p>
        </w:tc>
        <w:tc>
          <w:tcPr>
            <w:tcW w:w="1867" w:type="pct"/>
            <w:shd w:val="clear" w:color="auto" w:fill="DEEAF6"/>
            <w:hideMark/>
          </w:tcPr>
          <w:p w14:paraId="14243C8D"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-Les milieux à fort et très forts enjeux doivent faire l’objet d’un zonage de protection (coupes soumises à DP, liste de végétaux pour la replantation, etc.)</w:t>
            </w:r>
            <w:r w:rsidRPr="00C25D68">
              <w:rPr>
                <w:rFonts w:eastAsia="Times New Roman" w:cs="Arial"/>
                <w:sz w:val="16"/>
                <w:szCs w:val="16"/>
                <w:lang w:eastAsia="fr-FR"/>
              </w:rPr>
              <w:br/>
              <w:t>-Pour les milieux à faibles et très faibles enjeux, favoriser le retour des espèces plus naturelles (transparence des clôtures, liste des espèces végétales à prescrire et à proscrire, suppressions des bâches synthétiques dans les bassins, etc.)</w:t>
            </w:r>
            <w:r w:rsidRPr="00C25D68">
              <w:rPr>
                <w:rFonts w:eastAsia="Times New Roman" w:cs="Arial"/>
                <w:sz w:val="16"/>
                <w:szCs w:val="16"/>
                <w:lang w:eastAsia="fr-FR"/>
              </w:rPr>
              <w:br/>
              <w:t>-Faire sur le bâti public (mairie, salle de sport) et autre bâti remarquable (château, églises) des prospections de bâtiment quand des travaux sont prévus (ne pas détruire les nids, prévoir des bassins de rétention non bâchés et à ciel ouvert, transparence des clôtures)</w:t>
            </w:r>
          </w:p>
        </w:tc>
        <w:tc>
          <w:tcPr>
            <w:tcW w:w="1827" w:type="pct"/>
            <w:shd w:val="clear" w:color="auto" w:fill="DEEAF6"/>
            <w:hideMark/>
          </w:tcPr>
          <w:p w14:paraId="4D33AC3D"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Refus d'accepter l'enjeu environnemental</w:t>
            </w:r>
          </w:p>
        </w:tc>
      </w:tr>
      <w:tr w:rsidR="004C1BF8" w:rsidRPr="00C25D68" w14:paraId="4B6ADB82" w14:textId="77777777" w:rsidTr="00661FE7">
        <w:trPr>
          <w:trHeight w:val="20"/>
        </w:trPr>
        <w:tc>
          <w:tcPr>
            <w:tcW w:w="422" w:type="pct"/>
            <w:shd w:val="clear" w:color="auto" w:fill="auto"/>
            <w:hideMark/>
          </w:tcPr>
          <w:p w14:paraId="4BEA9394"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auto"/>
            <w:hideMark/>
          </w:tcPr>
          <w:p w14:paraId="012C7654"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appliquées aux espaces naturels et aux sites</w:t>
            </w:r>
          </w:p>
        </w:tc>
        <w:tc>
          <w:tcPr>
            <w:tcW w:w="403" w:type="pct"/>
            <w:shd w:val="clear" w:color="auto" w:fill="auto"/>
            <w:hideMark/>
          </w:tcPr>
          <w:p w14:paraId="21C414A9"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Sites Natura2000</w:t>
            </w:r>
          </w:p>
        </w:tc>
        <w:tc>
          <w:tcPr>
            <w:tcW w:w="1867" w:type="pct"/>
            <w:shd w:val="clear" w:color="auto" w:fill="auto"/>
            <w:hideMark/>
          </w:tcPr>
          <w:p w14:paraId="7A596E4F"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 xml:space="preserve">-Les grands cours d'eau (Adour, Gaves et </w:t>
            </w:r>
            <w:proofErr w:type="spellStart"/>
            <w:r w:rsidRPr="00C25D68">
              <w:rPr>
                <w:rFonts w:eastAsia="Times New Roman" w:cs="Arial"/>
                <w:sz w:val="16"/>
                <w:szCs w:val="16"/>
                <w:lang w:eastAsia="fr-FR"/>
              </w:rPr>
              <w:t>Bidouze</w:t>
            </w:r>
            <w:proofErr w:type="spellEnd"/>
            <w:r w:rsidRPr="00C25D68">
              <w:rPr>
                <w:rFonts w:eastAsia="Times New Roman" w:cs="Arial"/>
                <w:sz w:val="16"/>
                <w:szCs w:val="16"/>
                <w:lang w:eastAsia="fr-FR"/>
              </w:rPr>
              <w:t>) ainsi que leurs zones humides associées (</w:t>
            </w:r>
            <w:proofErr w:type="spellStart"/>
            <w:r w:rsidRPr="00C25D68">
              <w:rPr>
                <w:rFonts w:eastAsia="Times New Roman" w:cs="Arial"/>
                <w:sz w:val="16"/>
                <w:szCs w:val="16"/>
                <w:lang w:eastAsia="fr-FR"/>
              </w:rPr>
              <w:t>saligues</w:t>
            </w:r>
            <w:proofErr w:type="spellEnd"/>
            <w:r w:rsidRPr="00C25D68">
              <w:rPr>
                <w:rFonts w:eastAsia="Times New Roman" w:cs="Arial"/>
                <w:sz w:val="16"/>
                <w:szCs w:val="16"/>
                <w:lang w:eastAsia="fr-FR"/>
              </w:rPr>
              <w:t xml:space="preserve">, </w:t>
            </w:r>
            <w:proofErr w:type="spellStart"/>
            <w:r w:rsidRPr="00C25D68">
              <w:rPr>
                <w:rFonts w:eastAsia="Times New Roman" w:cs="Arial"/>
                <w:sz w:val="16"/>
                <w:szCs w:val="16"/>
                <w:lang w:eastAsia="fr-FR"/>
              </w:rPr>
              <w:t>barthes</w:t>
            </w:r>
            <w:proofErr w:type="spellEnd"/>
            <w:r w:rsidRPr="00C25D68">
              <w:rPr>
                <w:rFonts w:eastAsia="Times New Roman" w:cs="Arial"/>
                <w:sz w:val="16"/>
                <w:szCs w:val="16"/>
                <w:lang w:eastAsia="fr-FR"/>
              </w:rPr>
              <w:t>) sont concernés par des sites Natura 2000. Ces sites doivent être maintenus dans en bon état de conservation.</w:t>
            </w:r>
            <w:r w:rsidRPr="00C25D68">
              <w:rPr>
                <w:rFonts w:eastAsia="Times New Roman" w:cs="Arial"/>
                <w:sz w:val="16"/>
                <w:szCs w:val="16"/>
                <w:lang w:eastAsia="fr-FR"/>
              </w:rPr>
              <w:br/>
              <w:t>-Les sites Natura2000 doivent être pris en compte dans les zones N</w:t>
            </w:r>
          </w:p>
        </w:tc>
        <w:tc>
          <w:tcPr>
            <w:tcW w:w="1827" w:type="pct"/>
            <w:shd w:val="clear" w:color="auto" w:fill="auto"/>
            <w:hideMark/>
          </w:tcPr>
          <w:p w14:paraId="53E9CD03"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Refus d'accepter l'enjeu environnemental</w:t>
            </w:r>
          </w:p>
        </w:tc>
      </w:tr>
      <w:tr w:rsidR="004C1BF8" w:rsidRPr="00C25D68" w14:paraId="3E0FE8F9" w14:textId="77777777" w:rsidTr="00661FE7">
        <w:trPr>
          <w:trHeight w:val="20"/>
        </w:trPr>
        <w:tc>
          <w:tcPr>
            <w:tcW w:w="422" w:type="pct"/>
            <w:shd w:val="clear" w:color="auto" w:fill="DEEAF6"/>
            <w:hideMark/>
          </w:tcPr>
          <w:p w14:paraId="5D73E7E3"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DEEAF6"/>
            <w:hideMark/>
          </w:tcPr>
          <w:p w14:paraId="4293CB41"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appliquées aux espaces naturels et aux sites</w:t>
            </w:r>
          </w:p>
        </w:tc>
        <w:tc>
          <w:tcPr>
            <w:tcW w:w="403" w:type="pct"/>
            <w:shd w:val="clear" w:color="auto" w:fill="DEEAF6"/>
            <w:hideMark/>
          </w:tcPr>
          <w:p w14:paraId="3AE943A5"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Z.N.I.E.F.F. et ZICO</w:t>
            </w:r>
          </w:p>
        </w:tc>
        <w:tc>
          <w:tcPr>
            <w:tcW w:w="1867" w:type="pct"/>
            <w:shd w:val="clear" w:color="auto" w:fill="DEEAF6"/>
            <w:hideMark/>
          </w:tcPr>
          <w:p w14:paraId="21D4F247"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-Les ZNIEFF et ZICO intégrés à des sites Natura 2000 bénéficient d'une protection au titre de Natura 2000</w:t>
            </w:r>
            <w:r w:rsidRPr="00C25D68">
              <w:rPr>
                <w:rFonts w:eastAsia="Times New Roman" w:cs="Arial"/>
                <w:sz w:val="16"/>
                <w:szCs w:val="16"/>
                <w:lang w:eastAsia="fr-FR"/>
              </w:rPr>
              <w:br/>
              <w:t>-Les ZNIEFF, non intégrées à un site Natura2000, doivent faire l'objet d'une attention particulière</w:t>
            </w:r>
          </w:p>
        </w:tc>
        <w:tc>
          <w:tcPr>
            <w:tcW w:w="1827" w:type="pct"/>
            <w:shd w:val="clear" w:color="auto" w:fill="DEEAF6"/>
            <w:hideMark/>
          </w:tcPr>
          <w:p w14:paraId="015F3F66"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Refus d'accepter l'enjeu environnemental</w:t>
            </w:r>
          </w:p>
        </w:tc>
      </w:tr>
      <w:tr w:rsidR="004C1BF8" w:rsidRPr="00C25D68" w14:paraId="1B441157" w14:textId="77777777" w:rsidTr="00661FE7">
        <w:trPr>
          <w:trHeight w:val="20"/>
        </w:trPr>
        <w:tc>
          <w:tcPr>
            <w:tcW w:w="422" w:type="pct"/>
            <w:shd w:val="clear" w:color="auto" w:fill="auto"/>
            <w:hideMark/>
          </w:tcPr>
          <w:p w14:paraId="036965CA"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auto"/>
            <w:hideMark/>
          </w:tcPr>
          <w:p w14:paraId="7D72A057"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appliquées aux espaces naturels et aux sites</w:t>
            </w:r>
          </w:p>
        </w:tc>
        <w:tc>
          <w:tcPr>
            <w:tcW w:w="403" w:type="pct"/>
            <w:shd w:val="clear" w:color="auto" w:fill="auto"/>
            <w:hideMark/>
          </w:tcPr>
          <w:p w14:paraId="317E1F05"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Espaces Naturels Sensibles du Département des Landes</w:t>
            </w:r>
          </w:p>
        </w:tc>
        <w:tc>
          <w:tcPr>
            <w:tcW w:w="1867" w:type="pct"/>
            <w:shd w:val="clear" w:color="auto" w:fill="auto"/>
            <w:hideMark/>
          </w:tcPr>
          <w:p w14:paraId="4E78CE91"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-il y a 5 sites ENS, pour une surface totale d’environ 160 hectares.</w:t>
            </w:r>
            <w:r w:rsidRPr="00C25D68">
              <w:rPr>
                <w:rFonts w:eastAsia="Times New Roman" w:cs="Arial"/>
                <w:sz w:val="16"/>
                <w:szCs w:val="16"/>
                <w:lang w:eastAsia="fr-FR"/>
              </w:rPr>
              <w:br/>
              <w:t>-Les Espaces Naturels Sensibles des Landes représentent un patrimoine collectif reconnu pour ses qualités écologiques, paysagères et ses fonctions d’aménité, qu’il est nécessaire de conserver et de transmettre</w:t>
            </w:r>
            <w:r w:rsidRPr="00C25D68">
              <w:rPr>
                <w:rFonts w:eastAsia="Times New Roman" w:cs="Arial"/>
                <w:sz w:val="16"/>
                <w:szCs w:val="16"/>
                <w:lang w:eastAsia="fr-FR"/>
              </w:rPr>
              <w:br/>
              <w:t>-Ils accueillent des habitats, des espèces animales ou végétales remarquables ou présentent des fonctionnalités écologiques indispensables pour le maintien de ces habitats et espèces</w:t>
            </w:r>
          </w:p>
        </w:tc>
        <w:tc>
          <w:tcPr>
            <w:tcW w:w="1827" w:type="pct"/>
            <w:shd w:val="clear" w:color="auto" w:fill="auto"/>
            <w:hideMark/>
          </w:tcPr>
          <w:p w14:paraId="0B998305"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Refus d'accepter l'enjeu environnemental</w:t>
            </w:r>
          </w:p>
        </w:tc>
      </w:tr>
      <w:tr w:rsidR="004C1BF8" w:rsidRPr="00C25D68" w14:paraId="6C6A8816" w14:textId="77777777" w:rsidTr="00661FE7">
        <w:trPr>
          <w:trHeight w:val="20"/>
        </w:trPr>
        <w:tc>
          <w:tcPr>
            <w:tcW w:w="422" w:type="pct"/>
            <w:shd w:val="clear" w:color="auto" w:fill="DEEAF6"/>
            <w:hideMark/>
          </w:tcPr>
          <w:p w14:paraId="1D59E4C4"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paysager</w:t>
            </w:r>
          </w:p>
        </w:tc>
        <w:tc>
          <w:tcPr>
            <w:tcW w:w="481" w:type="pct"/>
            <w:shd w:val="clear" w:color="auto" w:fill="DEEAF6"/>
            <w:hideMark/>
          </w:tcPr>
          <w:p w14:paraId="1CA9E27C"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appliquées aux espaces naturels et aux sites</w:t>
            </w:r>
          </w:p>
        </w:tc>
        <w:tc>
          <w:tcPr>
            <w:tcW w:w="403" w:type="pct"/>
            <w:shd w:val="clear" w:color="auto" w:fill="DEEAF6"/>
            <w:hideMark/>
          </w:tcPr>
          <w:p w14:paraId="3C627A20"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Sites classés et inscrits</w:t>
            </w:r>
          </w:p>
        </w:tc>
        <w:tc>
          <w:tcPr>
            <w:tcW w:w="1867" w:type="pct"/>
            <w:shd w:val="clear" w:color="auto" w:fill="DEEAF6"/>
            <w:hideMark/>
          </w:tcPr>
          <w:p w14:paraId="28F3F79E"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Une attention toute particulière doit être portée sur l’évolution du secteur concerné sur le plan architectural et paysager au sens large :</w:t>
            </w:r>
            <w:r w:rsidRPr="00C25D68">
              <w:rPr>
                <w:rFonts w:eastAsia="Times New Roman" w:cs="Arial"/>
                <w:sz w:val="16"/>
                <w:szCs w:val="16"/>
                <w:lang w:eastAsia="fr-FR"/>
              </w:rPr>
              <w:br/>
              <w:t>-le territoire compte 4 sites classés 7 sites inscrits</w:t>
            </w:r>
            <w:r w:rsidRPr="00C25D68">
              <w:rPr>
                <w:rFonts w:eastAsia="Times New Roman" w:cs="Arial"/>
                <w:sz w:val="16"/>
                <w:szCs w:val="16"/>
                <w:lang w:eastAsia="fr-FR"/>
              </w:rPr>
              <w:br/>
              <w:t>-Le PADD doit affirmer la prise en compte des objectifs de protection et expliciter les modalités d’aménagement durable respectueuses des enjeux environnementaux, dans un ou plusieurs items.</w:t>
            </w:r>
            <w:r w:rsidRPr="00C25D68">
              <w:rPr>
                <w:rFonts w:eastAsia="Times New Roman" w:cs="Arial"/>
                <w:sz w:val="16"/>
                <w:szCs w:val="16"/>
                <w:lang w:eastAsia="fr-FR"/>
              </w:rPr>
              <w:br/>
              <w:t>-Le zonage, le règlement et les OAP déclinent de manière précise les dispositions prises et les occupations du sol autorisées.</w:t>
            </w:r>
            <w:r w:rsidRPr="00C25D68">
              <w:rPr>
                <w:rFonts w:eastAsia="Times New Roman" w:cs="Arial"/>
                <w:sz w:val="16"/>
                <w:szCs w:val="16"/>
                <w:lang w:eastAsia="fr-FR"/>
              </w:rPr>
              <w:br/>
              <w:t>-Le classement en zones A ou N permet de limiter et cerner les aménagements possibles, de protéger les secteurs sensibles notamment en matière paysagère (protection stricte ou possibilités d’aménagement d’ampleur limitée compatibles avec les mesures de protection des sites).</w:t>
            </w:r>
            <w:r w:rsidRPr="00C25D68">
              <w:rPr>
                <w:rFonts w:eastAsia="Times New Roman" w:cs="Arial"/>
                <w:sz w:val="16"/>
                <w:szCs w:val="16"/>
                <w:lang w:eastAsia="fr-FR"/>
              </w:rPr>
              <w:br/>
              <w:t xml:space="preserve">-La délimitation d’espaces boisés classés peut être mis en </w:t>
            </w:r>
            <w:proofErr w:type="spellStart"/>
            <w:r w:rsidRPr="00C25D68">
              <w:rPr>
                <w:rFonts w:eastAsia="Times New Roman" w:cs="Arial"/>
                <w:sz w:val="16"/>
                <w:szCs w:val="16"/>
                <w:lang w:eastAsia="fr-FR"/>
              </w:rPr>
              <w:t>oeuvre</w:t>
            </w:r>
            <w:proofErr w:type="spellEnd"/>
            <w:r w:rsidRPr="00C25D68">
              <w:rPr>
                <w:rFonts w:eastAsia="Times New Roman" w:cs="Arial"/>
                <w:sz w:val="16"/>
                <w:szCs w:val="16"/>
                <w:lang w:eastAsia="fr-FR"/>
              </w:rPr>
              <w:t xml:space="preserve"> dans le PLU/PLUi pour les bois, forêts, parcs à conserver, à protéger ou à créer (article L. 113-1 du CU).</w:t>
            </w:r>
          </w:p>
        </w:tc>
        <w:tc>
          <w:tcPr>
            <w:tcW w:w="1827" w:type="pct"/>
            <w:shd w:val="clear" w:color="auto" w:fill="DEEAF6"/>
            <w:hideMark/>
          </w:tcPr>
          <w:p w14:paraId="326F21A5"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Refus d'accepter l'enjeu environnemental</w:t>
            </w:r>
          </w:p>
        </w:tc>
      </w:tr>
      <w:tr w:rsidR="004C1BF8" w:rsidRPr="00C25D68" w14:paraId="37A32878" w14:textId="77777777" w:rsidTr="00661FE7">
        <w:trPr>
          <w:trHeight w:val="20"/>
        </w:trPr>
        <w:tc>
          <w:tcPr>
            <w:tcW w:w="422" w:type="pct"/>
            <w:shd w:val="clear" w:color="auto" w:fill="auto"/>
            <w:hideMark/>
          </w:tcPr>
          <w:p w14:paraId="4DF3A954"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auto"/>
            <w:hideMark/>
          </w:tcPr>
          <w:p w14:paraId="17B3E6BE"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appliquées aux espaces naturels et aux sites</w:t>
            </w:r>
          </w:p>
        </w:tc>
        <w:tc>
          <w:tcPr>
            <w:tcW w:w="403" w:type="pct"/>
            <w:shd w:val="clear" w:color="auto" w:fill="auto"/>
            <w:hideMark/>
          </w:tcPr>
          <w:p w14:paraId="6BA7B7B9"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Espèces végétales « invasives » et espèces végétales à favoriser pour la biodiversité</w:t>
            </w:r>
          </w:p>
        </w:tc>
        <w:tc>
          <w:tcPr>
            <w:tcW w:w="1867" w:type="pct"/>
            <w:shd w:val="clear" w:color="auto" w:fill="auto"/>
            <w:hideMark/>
          </w:tcPr>
          <w:p w14:paraId="1C4036F6"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-Participer à la lutte contre les espèces végétales dangereuses pour la biodiversité en intégrant les listes des espèces végétales à proscrire dans les outils règlementaires du document d’urbanisme (annexe du règlement par exemple)</w:t>
            </w:r>
            <w:r w:rsidRPr="00C25D68">
              <w:rPr>
                <w:rFonts w:eastAsia="Times New Roman" w:cs="Arial"/>
                <w:sz w:val="16"/>
                <w:szCs w:val="16"/>
                <w:lang w:eastAsia="fr-FR"/>
              </w:rPr>
              <w:br/>
              <w:t xml:space="preserve">-Participer à la préservation du paysage et de la biodiversité en incitant à l’utilisation des espèces </w:t>
            </w:r>
            <w:proofErr w:type="gramStart"/>
            <w:r w:rsidRPr="00C25D68">
              <w:rPr>
                <w:rFonts w:eastAsia="Times New Roman" w:cs="Arial"/>
                <w:sz w:val="16"/>
                <w:szCs w:val="16"/>
                <w:lang w:eastAsia="fr-FR"/>
              </w:rPr>
              <w:t>végétales  naturellement</w:t>
            </w:r>
            <w:proofErr w:type="gramEnd"/>
            <w:r w:rsidRPr="00C25D68">
              <w:rPr>
                <w:rFonts w:eastAsia="Times New Roman" w:cs="Arial"/>
                <w:sz w:val="16"/>
                <w:szCs w:val="16"/>
                <w:lang w:eastAsia="fr-FR"/>
              </w:rPr>
              <w:t xml:space="preserve"> présentes dans les milieux naturels du territoire, en particulier dans les espaces urbains en remplacement des espèces ornementales. Intégrer les listes des espèces végétales à favoriser dans les outils règlementaires du document d’urbanisme, en particulier dans les zones urbaines (annexe du règlement par exemple)</w:t>
            </w:r>
          </w:p>
        </w:tc>
        <w:tc>
          <w:tcPr>
            <w:tcW w:w="1827" w:type="pct"/>
            <w:shd w:val="clear" w:color="auto" w:fill="auto"/>
            <w:hideMark/>
          </w:tcPr>
          <w:p w14:paraId="66892D7E"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Refus d'accepter l'enjeu environnemental</w:t>
            </w:r>
          </w:p>
        </w:tc>
      </w:tr>
      <w:tr w:rsidR="004C1BF8" w:rsidRPr="00C25D68" w14:paraId="558B8482" w14:textId="77777777" w:rsidTr="00661FE7">
        <w:trPr>
          <w:trHeight w:val="20"/>
        </w:trPr>
        <w:tc>
          <w:tcPr>
            <w:tcW w:w="422" w:type="pct"/>
            <w:shd w:val="clear" w:color="auto" w:fill="DEEAF6"/>
            <w:hideMark/>
          </w:tcPr>
          <w:p w14:paraId="09545A70"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DEEAF6"/>
            <w:hideMark/>
          </w:tcPr>
          <w:p w14:paraId="041E422C"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appliquées aux espaces naturels et aux sites</w:t>
            </w:r>
          </w:p>
        </w:tc>
        <w:tc>
          <w:tcPr>
            <w:tcW w:w="403" w:type="pct"/>
            <w:shd w:val="clear" w:color="auto" w:fill="DEEAF6"/>
            <w:hideMark/>
          </w:tcPr>
          <w:p w14:paraId="17DD5067"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liées aux bois et forêts</w:t>
            </w:r>
          </w:p>
        </w:tc>
        <w:tc>
          <w:tcPr>
            <w:tcW w:w="1867" w:type="pct"/>
            <w:shd w:val="clear" w:color="auto" w:fill="DEEAF6"/>
            <w:hideMark/>
          </w:tcPr>
          <w:p w14:paraId="20623EA9"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-Une forêt indispensable à la fonctionnalité de la biodiversité en particulier grâce à une intervention humaine limitée : absence d'exploitation, pratique des activités de loisirs (chasse, randonnée, champignons, etc.)</w:t>
            </w:r>
          </w:p>
        </w:tc>
        <w:tc>
          <w:tcPr>
            <w:tcW w:w="1827" w:type="pct"/>
            <w:shd w:val="clear" w:color="auto" w:fill="DEEAF6"/>
            <w:hideMark/>
          </w:tcPr>
          <w:p w14:paraId="740A988E"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-Exploitation forestière dans la TVB en particulier cœurs de biodiversité</w:t>
            </w:r>
            <w:r w:rsidRPr="00C25D68">
              <w:rPr>
                <w:rFonts w:eastAsia="Times New Roman" w:cs="Arial"/>
                <w:sz w:val="16"/>
                <w:szCs w:val="16"/>
                <w:lang w:eastAsia="fr-FR"/>
              </w:rPr>
              <w:br/>
              <w:t>-Même si l'exploitation forestière et les coupes et abattages d'arbres sont indispensables, certains boisements doivent en être exclus</w:t>
            </w:r>
          </w:p>
        </w:tc>
      </w:tr>
      <w:tr w:rsidR="004C1BF8" w:rsidRPr="00C25D68" w14:paraId="15207285" w14:textId="77777777" w:rsidTr="00661FE7">
        <w:trPr>
          <w:trHeight w:val="20"/>
        </w:trPr>
        <w:tc>
          <w:tcPr>
            <w:tcW w:w="422" w:type="pct"/>
            <w:shd w:val="clear" w:color="auto" w:fill="auto"/>
            <w:hideMark/>
          </w:tcPr>
          <w:p w14:paraId="6467520E"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auto"/>
            <w:hideMark/>
          </w:tcPr>
          <w:p w14:paraId="6AC3D354"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appliquées aux espaces naturels et aux sites</w:t>
            </w:r>
          </w:p>
        </w:tc>
        <w:tc>
          <w:tcPr>
            <w:tcW w:w="403" w:type="pct"/>
            <w:shd w:val="clear" w:color="auto" w:fill="auto"/>
            <w:hideMark/>
          </w:tcPr>
          <w:p w14:paraId="758F1B19"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Gestion de la ressource en eau à l’échelle du Bassin Adour-Garonne</w:t>
            </w:r>
          </w:p>
        </w:tc>
        <w:tc>
          <w:tcPr>
            <w:tcW w:w="1867" w:type="pct"/>
            <w:shd w:val="clear" w:color="auto" w:fill="auto"/>
            <w:hideMark/>
          </w:tcPr>
          <w:p w14:paraId="0E0F8944"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-Les rejets des assainissements des eaux usées et des eaux de ruissellement (collectifs et individuels) doivent être maîtrisés dans le respect du bon état écologique et physico-chimique des eaux et des continuités écologiques.</w:t>
            </w:r>
            <w:r w:rsidRPr="00C25D68">
              <w:rPr>
                <w:rFonts w:eastAsia="Times New Roman" w:cs="Arial"/>
                <w:sz w:val="16"/>
                <w:szCs w:val="16"/>
                <w:lang w:eastAsia="fr-FR"/>
              </w:rPr>
              <w:br/>
              <w:t>-Les prélèvements (pompage et eau potable) doivent être maîtrisés dans le respect de la ressource en eau souterraine et superficielle.</w:t>
            </w:r>
            <w:r w:rsidRPr="00C25D68">
              <w:rPr>
                <w:rFonts w:eastAsia="Times New Roman" w:cs="Arial"/>
                <w:sz w:val="16"/>
                <w:szCs w:val="16"/>
                <w:lang w:eastAsia="fr-FR"/>
              </w:rPr>
              <w:br/>
              <w:t>-La préservation et la restauration de la continuité écologique constituent un enjeu majeur sur les grands cours d’eau (préserver et restaurer la continuité écologique et interdire la construction de tout nouvel obstacle)</w:t>
            </w:r>
            <w:r w:rsidRPr="00C25D68">
              <w:rPr>
                <w:rFonts w:eastAsia="Times New Roman" w:cs="Arial"/>
                <w:sz w:val="16"/>
                <w:szCs w:val="16"/>
                <w:lang w:eastAsia="fr-FR"/>
              </w:rPr>
              <w:br/>
              <w:t>-Réduire les intrants et diminuer les phénomènes de lessivage des sols</w:t>
            </w:r>
          </w:p>
        </w:tc>
        <w:tc>
          <w:tcPr>
            <w:tcW w:w="1827" w:type="pct"/>
            <w:shd w:val="clear" w:color="auto" w:fill="auto"/>
            <w:hideMark/>
          </w:tcPr>
          <w:p w14:paraId="0511C0DC"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-Rejets des assainissements des eaux usées et des eaux de ruissellement</w:t>
            </w:r>
            <w:r w:rsidRPr="00C25D68">
              <w:rPr>
                <w:rFonts w:eastAsia="Times New Roman" w:cs="Arial"/>
                <w:sz w:val="16"/>
                <w:szCs w:val="16"/>
                <w:lang w:eastAsia="fr-FR"/>
              </w:rPr>
              <w:br/>
              <w:t>-Les prélèvements (pompage et eau potable) sur la ressource en eau souterraine et superficielle</w:t>
            </w:r>
            <w:r w:rsidRPr="00C25D68">
              <w:rPr>
                <w:rFonts w:eastAsia="Times New Roman" w:cs="Arial"/>
                <w:sz w:val="16"/>
                <w:szCs w:val="16"/>
                <w:lang w:eastAsia="fr-FR"/>
              </w:rPr>
              <w:br/>
              <w:t>-Obstacles</w:t>
            </w:r>
            <w:r w:rsidRPr="00C25D68">
              <w:rPr>
                <w:rFonts w:eastAsia="Times New Roman" w:cs="Arial"/>
                <w:sz w:val="16"/>
                <w:szCs w:val="16"/>
                <w:lang w:eastAsia="fr-FR"/>
              </w:rPr>
              <w:br/>
              <w:t>-Pratiques favorisant la pollution de la ressource en eau par le lessivage des sols sans mesures de rétention : sols nus sur les pentes, remblais, intrants agricoles, labour, terrassements</w:t>
            </w:r>
          </w:p>
        </w:tc>
      </w:tr>
      <w:tr w:rsidR="004C1BF8" w:rsidRPr="00C25D68" w14:paraId="7A8EA277" w14:textId="77777777" w:rsidTr="00661FE7">
        <w:trPr>
          <w:trHeight w:val="20"/>
        </w:trPr>
        <w:tc>
          <w:tcPr>
            <w:tcW w:w="422" w:type="pct"/>
            <w:shd w:val="clear" w:color="auto" w:fill="DEEAF6"/>
            <w:hideMark/>
          </w:tcPr>
          <w:p w14:paraId="18D60D71"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Contexte biologique</w:t>
            </w:r>
          </w:p>
        </w:tc>
        <w:tc>
          <w:tcPr>
            <w:tcW w:w="481" w:type="pct"/>
            <w:shd w:val="clear" w:color="auto" w:fill="DEEAF6"/>
            <w:hideMark/>
          </w:tcPr>
          <w:p w14:paraId="66CE7992"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Mesures appliquées aux espaces naturels et aux sites</w:t>
            </w:r>
          </w:p>
        </w:tc>
        <w:tc>
          <w:tcPr>
            <w:tcW w:w="403" w:type="pct"/>
            <w:shd w:val="clear" w:color="auto" w:fill="DEEAF6"/>
            <w:hideMark/>
          </w:tcPr>
          <w:p w14:paraId="1A1AC7DC"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Trames vertes et bleues (TVB)</w:t>
            </w:r>
          </w:p>
        </w:tc>
        <w:tc>
          <w:tcPr>
            <w:tcW w:w="1867" w:type="pct"/>
            <w:shd w:val="clear" w:color="auto" w:fill="DEEAF6"/>
            <w:hideMark/>
          </w:tcPr>
          <w:p w14:paraId="1071F307"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-Les zones humides présentent des formes diverses et sont présentes à tous les niveaux du territoire : zones naturelles, urbaines ou agricoles, dans les vallées ou sur les coteaux. Certaines font l’objet de zonages administratifs (ZNIEFF, NATURA2000, etc.), d'autres non. Elles sont à préserver pour leur intérêt écologique et leur rôle de rétention, de décantation et d'épuration des eaux de ruissellement.</w:t>
            </w:r>
            <w:r w:rsidRPr="00C25D68">
              <w:rPr>
                <w:rFonts w:eastAsia="Times New Roman" w:cs="Arial"/>
                <w:sz w:val="16"/>
                <w:szCs w:val="16"/>
                <w:lang w:eastAsia="fr-FR"/>
              </w:rPr>
              <w:br/>
              <w:t>-Afin d’obtenir un résultat cohérent à l’échelle du territoire, la TVB a été identifiée à l’échelle de la Communauté de commune du Pays d’</w:t>
            </w:r>
            <w:proofErr w:type="spellStart"/>
            <w:r w:rsidRPr="00C25D68">
              <w:rPr>
                <w:rFonts w:eastAsia="Times New Roman" w:cs="Arial"/>
                <w:sz w:val="16"/>
                <w:szCs w:val="16"/>
                <w:lang w:eastAsia="fr-FR"/>
              </w:rPr>
              <w:t>Orthe</w:t>
            </w:r>
            <w:proofErr w:type="spellEnd"/>
            <w:r w:rsidRPr="00C25D68">
              <w:rPr>
                <w:rFonts w:eastAsia="Times New Roman" w:cs="Arial"/>
                <w:sz w:val="16"/>
                <w:szCs w:val="16"/>
                <w:lang w:eastAsia="fr-FR"/>
              </w:rPr>
              <w:t xml:space="preserve"> et des </w:t>
            </w:r>
            <w:proofErr w:type="spellStart"/>
            <w:r w:rsidRPr="00C25D68">
              <w:rPr>
                <w:rFonts w:eastAsia="Times New Roman" w:cs="Arial"/>
                <w:sz w:val="16"/>
                <w:szCs w:val="16"/>
                <w:lang w:eastAsia="fr-FR"/>
              </w:rPr>
              <w:t>Arrigans</w:t>
            </w:r>
            <w:proofErr w:type="spellEnd"/>
            <w:r w:rsidRPr="00C25D68">
              <w:rPr>
                <w:rFonts w:eastAsia="Times New Roman" w:cs="Arial"/>
                <w:sz w:val="16"/>
                <w:szCs w:val="16"/>
                <w:lang w:eastAsia="fr-FR"/>
              </w:rPr>
              <w:t>. La surface de ce territoire de 39 125 ha, dont 21 516 ha pour le territoire du Pays d’</w:t>
            </w:r>
            <w:proofErr w:type="spellStart"/>
            <w:r w:rsidRPr="00C25D68">
              <w:rPr>
                <w:rFonts w:eastAsia="Times New Roman" w:cs="Arial"/>
                <w:sz w:val="16"/>
                <w:szCs w:val="16"/>
                <w:lang w:eastAsia="fr-FR"/>
              </w:rPr>
              <w:t>Orthe</w:t>
            </w:r>
            <w:proofErr w:type="spellEnd"/>
            <w:r w:rsidRPr="00C25D68">
              <w:rPr>
                <w:rFonts w:eastAsia="Times New Roman" w:cs="Arial"/>
                <w:sz w:val="16"/>
                <w:szCs w:val="16"/>
                <w:lang w:eastAsia="fr-FR"/>
              </w:rPr>
              <w:t xml:space="preserve"> n’a pas permis de travailler la TVB à l’échelle de la parcelle et de l’espèce. Cependant, une analyse fine des réservoirs et des corridors en zone urbaine est prévue à l’occasion de l’évaluation environnementale du zonage sur l’environnement. Les zooms seront réalisés sur les zones urbaines (zones U) ou à urbaniser (zones AU) où les enjeux sont les plus importants et une description plus fine de la TVB sera faite.</w:t>
            </w:r>
            <w:r w:rsidRPr="00C25D68">
              <w:rPr>
                <w:rFonts w:eastAsia="Times New Roman" w:cs="Arial"/>
                <w:sz w:val="16"/>
                <w:szCs w:val="16"/>
                <w:lang w:eastAsia="fr-FR"/>
              </w:rPr>
              <w:br/>
              <w:t>-Les données faune et flore sont considérées en tant que groupes d’espèces et comprennent des espèces remarquables, ordinaires et/ou protégées</w:t>
            </w:r>
            <w:r w:rsidRPr="00C25D68">
              <w:rPr>
                <w:rFonts w:eastAsia="Times New Roman" w:cs="Arial"/>
                <w:sz w:val="16"/>
                <w:szCs w:val="16"/>
                <w:lang w:eastAsia="fr-FR"/>
              </w:rPr>
              <w:br/>
              <w:t>-Les prospections ont permis de mettre en évidence des sous trames favorables à la biodiversité et au cycle biologique des espèces (52.6% de la surface du territoire) et des sous trames peu favorables (54.9% du territoire).</w:t>
            </w:r>
          </w:p>
          <w:p w14:paraId="7E851E8B"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-Les réservoirs de biodiversité sont hiérarchisés en fonction de l’intérêt écologique : niveau 1 (secteurs à forte valeur écologique appelés « cœurs de biodiversité »), niveau 2 (milieux communs à préserver), niveau 3 (milieux peu favorables à la biodiversité ou « milieux répulsifs »)</w:t>
            </w:r>
            <w:r w:rsidRPr="00C25D68">
              <w:rPr>
                <w:rFonts w:eastAsia="Times New Roman" w:cs="Arial"/>
                <w:sz w:val="16"/>
                <w:szCs w:val="16"/>
                <w:lang w:eastAsia="fr-FR"/>
              </w:rPr>
              <w:br/>
              <w:t>-Les corridors et les obstacles ont été identifiés</w:t>
            </w:r>
            <w:r w:rsidRPr="00C25D68">
              <w:rPr>
                <w:rFonts w:eastAsia="Times New Roman" w:cs="Arial"/>
                <w:sz w:val="16"/>
                <w:szCs w:val="16"/>
                <w:lang w:eastAsia="fr-FR"/>
              </w:rPr>
              <w:br/>
              <w:t>-La TVB du territoire est retranscrite dans un atlas cartographique qui constitue l’outil de travail et d’aide à la décision dans les choix de zonage du document d’urbanisme</w:t>
            </w:r>
          </w:p>
        </w:tc>
        <w:tc>
          <w:tcPr>
            <w:tcW w:w="1827" w:type="pct"/>
            <w:shd w:val="clear" w:color="auto" w:fill="DEEAF6"/>
            <w:hideMark/>
          </w:tcPr>
          <w:p w14:paraId="53F1B3E1"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-Pression sur les milieux aquatiques et les zones humides : pollution de l’eau (urbaine, agricole, industrielle), envasement excessif, gestion des débits, atteintes à la morphologie des milieux (remblais, curages), altération des berges (endiguement, reprofilage, aménagement d’espaces verts…), drainage.</w:t>
            </w:r>
            <w:r w:rsidRPr="00C25D68">
              <w:rPr>
                <w:rFonts w:eastAsia="Times New Roman" w:cs="Arial"/>
                <w:sz w:val="16"/>
                <w:szCs w:val="16"/>
                <w:lang w:eastAsia="fr-FR"/>
              </w:rPr>
              <w:br/>
              <w:t>-Intensification urbaine, agricole et sylvicole / déprise agricole (disparition des prairies naturelles).</w:t>
            </w:r>
            <w:r w:rsidRPr="00C25D68">
              <w:rPr>
                <w:rFonts w:eastAsia="Times New Roman" w:cs="Arial"/>
                <w:sz w:val="16"/>
                <w:szCs w:val="16"/>
                <w:lang w:eastAsia="fr-FR"/>
              </w:rPr>
              <w:br/>
              <w:t>-Fragmentation par les infrastructures routières et ferrées. Les routes départementales même de taille modeste constituent également une barrière à la circulation de la faune terrestre.</w:t>
            </w:r>
            <w:r w:rsidRPr="00C25D68">
              <w:rPr>
                <w:rFonts w:eastAsia="Times New Roman" w:cs="Arial"/>
                <w:sz w:val="16"/>
                <w:szCs w:val="16"/>
                <w:lang w:eastAsia="fr-FR"/>
              </w:rPr>
              <w:br/>
              <w:t>-Disparition/altération de corridors : ripisylves, haies.</w:t>
            </w:r>
            <w:r w:rsidRPr="00C25D68">
              <w:rPr>
                <w:rFonts w:eastAsia="Times New Roman" w:cs="Arial"/>
                <w:sz w:val="16"/>
                <w:szCs w:val="16"/>
                <w:lang w:eastAsia="fr-FR"/>
              </w:rPr>
              <w:br/>
              <w:t xml:space="preserve">-Développement des espèces animales et végétales invasives (Robinier faux-acacia, Herbe de la Pampa, Bambou, </w:t>
            </w:r>
            <w:proofErr w:type="spellStart"/>
            <w:r w:rsidRPr="00C25D68">
              <w:rPr>
                <w:rFonts w:eastAsia="Times New Roman" w:cs="Arial"/>
                <w:sz w:val="16"/>
                <w:szCs w:val="16"/>
                <w:lang w:eastAsia="fr-FR"/>
              </w:rPr>
              <w:t>Baccharis</w:t>
            </w:r>
            <w:proofErr w:type="spellEnd"/>
            <w:r w:rsidRPr="00C25D68">
              <w:rPr>
                <w:rFonts w:eastAsia="Times New Roman" w:cs="Arial"/>
                <w:sz w:val="16"/>
                <w:szCs w:val="16"/>
                <w:lang w:eastAsia="fr-FR"/>
              </w:rPr>
              <w:t xml:space="preserve">, Erable negundo, </w:t>
            </w:r>
            <w:proofErr w:type="spellStart"/>
            <w:r w:rsidRPr="00C25D68">
              <w:rPr>
                <w:rFonts w:eastAsia="Times New Roman" w:cs="Arial"/>
                <w:sz w:val="16"/>
                <w:szCs w:val="16"/>
                <w:lang w:eastAsia="fr-FR"/>
              </w:rPr>
              <w:t>jussies</w:t>
            </w:r>
            <w:proofErr w:type="spellEnd"/>
            <w:r w:rsidRPr="00C25D68">
              <w:rPr>
                <w:rFonts w:eastAsia="Times New Roman" w:cs="Arial"/>
                <w:sz w:val="16"/>
                <w:szCs w:val="16"/>
                <w:lang w:eastAsia="fr-FR"/>
              </w:rPr>
              <w:t>, écrevisses américaines, Vison d’Amérique, Tortues de Floride…)</w:t>
            </w:r>
          </w:p>
        </w:tc>
      </w:tr>
      <w:tr w:rsidR="004C1BF8" w:rsidRPr="00C25D68" w14:paraId="151DC59C" w14:textId="77777777" w:rsidTr="00661FE7">
        <w:trPr>
          <w:trHeight w:val="20"/>
        </w:trPr>
        <w:tc>
          <w:tcPr>
            <w:tcW w:w="422" w:type="pct"/>
            <w:shd w:val="clear" w:color="auto" w:fill="auto"/>
            <w:hideMark/>
          </w:tcPr>
          <w:p w14:paraId="4CFBA65E"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technologiques</w:t>
            </w:r>
          </w:p>
        </w:tc>
        <w:tc>
          <w:tcPr>
            <w:tcW w:w="481" w:type="pct"/>
            <w:shd w:val="clear" w:color="auto" w:fill="auto"/>
            <w:hideMark/>
          </w:tcPr>
          <w:p w14:paraId="6D2A36C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Transports de matières dangereuses</w:t>
            </w:r>
          </w:p>
        </w:tc>
        <w:tc>
          <w:tcPr>
            <w:tcW w:w="403" w:type="pct"/>
            <w:shd w:val="clear" w:color="auto" w:fill="auto"/>
            <w:hideMark/>
          </w:tcPr>
          <w:p w14:paraId="0784F100"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auto"/>
            <w:hideMark/>
          </w:tcPr>
          <w:p w14:paraId="121E4C2B"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-Le territoire est concerné par le risque majeur des</w:t>
            </w:r>
            <w:proofErr w:type="gramStart"/>
            <w:r w:rsidRPr="00C25D68">
              <w:rPr>
                <w:rFonts w:eastAsia="Times New Roman" w:cs="Arial"/>
                <w:sz w:val="16"/>
                <w:szCs w:val="16"/>
                <w:lang w:eastAsia="fr-FR"/>
              </w:rPr>
              <w:t xml:space="preserve"> «Transports</w:t>
            </w:r>
            <w:proofErr w:type="gramEnd"/>
            <w:r w:rsidRPr="00C25D68">
              <w:rPr>
                <w:rFonts w:eastAsia="Times New Roman" w:cs="Arial"/>
                <w:sz w:val="16"/>
                <w:szCs w:val="16"/>
                <w:lang w:eastAsia="fr-FR"/>
              </w:rPr>
              <w:t xml:space="preserve"> de matières dangereuses » (source : DDRM de 2011)</w:t>
            </w:r>
            <w:r w:rsidRPr="00C25D68">
              <w:rPr>
                <w:rFonts w:eastAsia="Times New Roman" w:cs="Arial"/>
                <w:sz w:val="16"/>
                <w:szCs w:val="16"/>
                <w:lang w:eastAsia="fr-FR"/>
              </w:rPr>
              <w:br/>
              <w:t>-Les communes sont concernées par quatre modes de transport de matières dangereuses : canalisation de gaz, pipeline d'hydrocarbure, axes routiers, voie ferrée</w:t>
            </w:r>
          </w:p>
        </w:tc>
        <w:tc>
          <w:tcPr>
            <w:tcW w:w="1827" w:type="pct"/>
            <w:shd w:val="clear" w:color="auto" w:fill="auto"/>
            <w:hideMark/>
          </w:tcPr>
          <w:p w14:paraId="2F5CC5D2"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627E499C" w14:textId="77777777" w:rsidTr="00661FE7">
        <w:trPr>
          <w:trHeight w:val="20"/>
        </w:trPr>
        <w:tc>
          <w:tcPr>
            <w:tcW w:w="422" w:type="pct"/>
            <w:shd w:val="clear" w:color="auto" w:fill="DEEAF6"/>
            <w:hideMark/>
          </w:tcPr>
          <w:p w14:paraId="3232AD9E"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technologiques</w:t>
            </w:r>
          </w:p>
        </w:tc>
        <w:tc>
          <w:tcPr>
            <w:tcW w:w="481" w:type="pct"/>
            <w:shd w:val="clear" w:color="auto" w:fill="DEEAF6"/>
            <w:hideMark/>
          </w:tcPr>
          <w:p w14:paraId="5D3B45DC"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Rupture de barrage ou de digue</w:t>
            </w:r>
          </w:p>
        </w:tc>
        <w:tc>
          <w:tcPr>
            <w:tcW w:w="403" w:type="pct"/>
            <w:shd w:val="clear" w:color="auto" w:fill="DEEAF6"/>
            <w:hideMark/>
          </w:tcPr>
          <w:p w14:paraId="45F4035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DEEAF6"/>
            <w:hideMark/>
          </w:tcPr>
          <w:p w14:paraId="3D318C41"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Les communes sont concernées par le risque de rupture barrage ou de digue</w:t>
            </w:r>
          </w:p>
        </w:tc>
        <w:tc>
          <w:tcPr>
            <w:tcW w:w="1827" w:type="pct"/>
            <w:shd w:val="clear" w:color="auto" w:fill="DEEAF6"/>
            <w:hideMark/>
          </w:tcPr>
          <w:p w14:paraId="30DE7D6B"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4EF55431" w14:textId="77777777" w:rsidTr="00661FE7">
        <w:trPr>
          <w:trHeight w:val="20"/>
        </w:trPr>
        <w:tc>
          <w:tcPr>
            <w:tcW w:w="422" w:type="pct"/>
            <w:shd w:val="clear" w:color="auto" w:fill="auto"/>
            <w:hideMark/>
          </w:tcPr>
          <w:p w14:paraId="21DADA6A"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technologiques</w:t>
            </w:r>
          </w:p>
        </w:tc>
        <w:tc>
          <w:tcPr>
            <w:tcW w:w="481" w:type="pct"/>
            <w:shd w:val="clear" w:color="auto" w:fill="auto"/>
            <w:hideMark/>
          </w:tcPr>
          <w:p w14:paraId="63F9C7D5"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Installations classées pour la protection de l’environnement</w:t>
            </w:r>
          </w:p>
        </w:tc>
        <w:tc>
          <w:tcPr>
            <w:tcW w:w="403" w:type="pct"/>
            <w:shd w:val="clear" w:color="auto" w:fill="auto"/>
            <w:hideMark/>
          </w:tcPr>
          <w:p w14:paraId="0074207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auto"/>
            <w:hideMark/>
          </w:tcPr>
          <w:p w14:paraId="020EC9F5"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Le territoire est concerné par le risque majeur des « installations classées pour la protection de l’environnement » (source : DDRM de 2011)</w:t>
            </w:r>
          </w:p>
        </w:tc>
        <w:tc>
          <w:tcPr>
            <w:tcW w:w="1827" w:type="pct"/>
            <w:shd w:val="clear" w:color="auto" w:fill="auto"/>
            <w:hideMark/>
          </w:tcPr>
          <w:p w14:paraId="0C66631F"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4CAE5BEE" w14:textId="77777777" w:rsidTr="00661FE7">
        <w:trPr>
          <w:trHeight w:val="20"/>
        </w:trPr>
        <w:tc>
          <w:tcPr>
            <w:tcW w:w="422" w:type="pct"/>
            <w:shd w:val="clear" w:color="auto" w:fill="DEEAF6"/>
            <w:hideMark/>
          </w:tcPr>
          <w:p w14:paraId="34ABC8A5"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naturels</w:t>
            </w:r>
          </w:p>
        </w:tc>
        <w:tc>
          <w:tcPr>
            <w:tcW w:w="481" w:type="pct"/>
            <w:shd w:val="clear" w:color="auto" w:fill="DEEAF6"/>
            <w:hideMark/>
          </w:tcPr>
          <w:p w14:paraId="3D3D3171"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Feux de forêts</w:t>
            </w:r>
          </w:p>
        </w:tc>
        <w:tc>
          <w:tcPr>
            <w:tcW w:w="403" w:type="pct"/>
            <w:shd w:val="clear" w:color="auto" w:fill="DEEAF6"/>
            <w:hideMark/>
          </w:tcPr>
          <w:p w14:paraId="6F9E8B2C"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DEEAF6"/>
            <w:hideMark/>
          </w:tcPr>
          <w:p w14:paraId="304E0FFF"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Le territoire n’appartient pas au massif des Landes de Gascogne et n’est donc pas concerné par le risque « feux de forêt » au sens du Dossier Départemental des Risques Majeurs des Landes de 2011</w:t>
            </w:r>
          </w:p>
        </w:tc>
        <w:tc>
          <w:tcPr>
            <w:tcW w:w="1827" w:type="pct"/>
            <w:shd w:val="clear" w:color="auto" w:fill="DEEAF6"/>
            <w:hideMark/>
          </w:tcPr>
          <w:p w14:paraId="3DC86A9A"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3CC9411D" w14:textId="77777777" w:rsidTr="00661FE7">
        <w:trPr>
          <w:trHeight w:val="20"/>
        </w:trPr>
        <w:tc>
          <w:tcPr>
            <w:tcW w:w="422" w:type="pct"/>
            <w:shd w:val="clear" w:color="auto" w:fill="auto"/>
            <w:hideMark/>
          </w:tcPr>
          <w:p w14:paraId="580985F6"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naturels</w:t>
            </w:r>
          </w:p>
        </w:tc>
        <w:tc>
          <w:tcPr>
            <w:tcW w:w="481" w:type="pct"/>
            <w:shd w:val="clear" w:color="auto" w:fill="auto"/>
            <w:hideMark/>
          </w:tcPr>
          <w:p w14:paraId="006519A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Zonage sismique</w:t>
            </w:r>
          </w:p>
        </w:tc>
        <w:tc>
          <w:tcPr>
            <w:tcW w:w="403" w:type="pct"/>
            <w:shd w:val="clear" w:color="auto" w:fill="auto"/>
            <w:hideMark/>
          </w:tcPr>
          <w:p w14:paraId="41966CC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auto"/>
            <w:hideMark/>
          </w:tcPr>
          <w:p w14:paraId="42D88003"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Le territoire présente un niveau de sismicité 3, dit « modéré </w:t>
            </w:r>
            <w:proofErr w:type="gramStart"/>
            <w:r w:rsidRPr="00C25D68">
              <w:rPr>
                <w:rFonts w:eastAsia="Times New Roman" w:cs="Arial"/>
                <w:sz w:val="16"/>
                <w:szCs w:val="16"/>
                <w:lang w:eastAsia="fr-FR"/>
              </w:rPr>
              <w:t>»  (</w:t>
            </w:r>
            <w:proofErr w:type="gramEnd"/>
            <w:r w:rsidRPr="00C25D68">
              <w:rPr>
                <w:rFonts w:eastAsia="Times New Roman" w:cs="Arial"/>
                <w:sz w:val="16"/>
                <w:szCs w:val="16"/>
                <w:lang w:eastAsia="fr-FR"/>
              </w:rPr>
              <w:t>source : DDRM de 2011)</w:t>
            </w:r>
          </w:p>
        </w:tc>
        <w:tc>
          <w:tcPr>
            <w:tcW w:w="1827" w:type="pct"/>
            <w:shd w:val="clear" w:color="auto" w:fill="auto"/>
            <w:hideMark/>
          </w:tcPr>
          <w:p w14:paraId="06B3DA45"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28D3AB3E" w14:textId="77777777" w:rsidTr="00661FE7">
        <w:trPr>
          <w:trHeight w:val="20"/>
        </w:trPr>
        <w:tc>
          <w:tcPr>
            <w:tcW w:w="422" w:type="pct"/>
            <w:shd w:val="clear" w:color="auto" w:fill="DEEAF6"/>
            <w:hideMark/>
          </w:tcPr>
          <w:p w14:paraId="0FD3CA48"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naturels</w:t>
            </w:r>
          </w:p>
        </w:tc>
        <w:tc>
          <w:tcPr>
            <w:tcW w:w="481" w:type="pct"/>
            <w:shd w:val="clear" w:color="auto" w:fill="DEEAF6"/>
            <w:hideMark/>
          </w:tcPr>
          <w:p w14:paraId="4B03F057"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Mouvements de terrain</w:t>
            </w:r>
          </w:p>
        </w:tc>
        <w:tc>
          <w:tcPr>
            <w:tcW w:w="403" w:type="pct"/>
            <w:shd w:val="clear" w:color="auto" w:fill="DEEAF6"/>
            <w:hideMark/>
          </w:tcPr>
          <w:p w14:paraId="71281EAE"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DEEAF6"/>
            <w:hideMark/>
          </w:tcPr>
          <w:p w14:paraId="2B2DFAB0"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Le territoire est concerné par des « mouvements de terrain » liés au phénomène de « retrait-gonflement des sols argileux » et à la présence de cavités souterraines</w:t>
            </w:r>
          </w:p>
        </w:tc>
        <w:tc>
          <w:tcPr>
            <w:tcW w:w="1827" w:type="pct"/>
            <w:shd w:val="clear" w:color="auto" w:fill="DEEAF6"/>
            <w:hideMark/>
          </w:tcPr>
          <w:p w14:paraId="1DF706FC"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0A6B52BB" w14:textId="77777777" w:rsidTr="00661FE7">
        <w:trPr>
          <w:trHeight w:val="20"/>
        </w:trPr>
        <w:tc>
          <w:tcPr>
            <w:tcW w:w="422" w:type="pct"/>
            <w:shd w:val="clear" w:color="auto" w:fill="auto"/>
            <w:hideMark/>
          </w:tcPr>
          <w:p w14:paraId="5B5D3E1E"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naturels</w:t>
            </w:r>
          </w:p>
        </w:tc>
        <w:tc>
          <w:tcPr>
            <w:tcW w:w="481" w:type="pct"/>
            <w:shd w:val="clear" w:color="auto" w:fill="auto"/>
            <w:hideMark/>
          </w:tcPr>
          <w:p w14:paraId="2324E183"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Mouvements de terrain</w:t>
            </w:r>
          </w:p>
        </w:tc>
        <w:tc>
          <w:tcPr>
            <w:tcW w:w="403" w:type="pct"/>
            <w:shd w:val="clear" w:color="auto" w:fill="auto"/>
            <w:hideMark/>
          </w:tcPr>
          <w:p w14:paraId="58EC258C"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Retrait-gonflement des sols argileux</w:t>
            </w:r>
          </w:p>
        </w:tc>
        <w:tc>
          <w:tcPr>
            <w:tcW w:w="1867" w:type="pct"/>
            <w:shd w:val="clear" w:color="auto" w:fill="auto"/>
            <w:hideMark/>
          </w:tcPr>
          <w:p w14:paraId="76694638"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-La présence de ces argiles est liée à la nature géologique des sols</w:t>
            </w:r>
            <w:r w:rsidRPr="00C25D68">
              <w:rPr>
                <w:rFonts w:eastAsia="Times New Roman" w:cs="Arial"/>
                <w:sz w:val="16"/>
                <w:szCs w:val="16"/>
                <w:lang w:eastAsia="fr-FR"/>
              </w:rPr>
              <w:br/>
              <w:t>-les zones d’affleurement des formations à dominante argileuse ou marneuse sont caractérisées par trois niveaux d’aléa (fort, moyen et faible)</w:t>
            </w:r>
          </w:p>
        </w:tc>
        <w:tc>
          <w:tcPr>
            <w:tcW w:w="1827" w:type="pct"/>
            <w:shd w:val="clear" w:color="auto" w:fill="auto"/>
            <w:hideMark/>
          </w:tcPr>
          <w:p w14:paraId="3FB7D4CB"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 xml:space="preserve">-Ce phénomène peut avoir un impact significatif sur les constructions, dans les zones concernées. </w:t>
            </w:r>
            <w:r w:rsidRPr="00C25D68">
              <w:rPr>
                <w:rFonts w:eastAsia="Times New Roman" w:cs="Arial"/>
                <w:sz w:val="16"/>
                <w:szCs w:val="16"/>
                <w:lang w:eastAsia="fr-FR"/>
              </w:rPr>
              <w:br/>
              <w:t>-Des lentilles d'aléa fort en zone aléa faible ou moyen</w:t>
            </w:r>
          </w:p>
        </w:tc>
      </w:tr>
      <w:tr w:rsidR="004C1BF8" w:rsidRPr="00C25D68" w14:paraId="46E8AABD" w14:textId="77777777" w:rsidTr="00661FE7">
        <w:trPr>
          <w:trHeight w:val="20"/>
        </w:trPr>
        <w:tc>
          <w:tcPr>
            <w:tcW w:w="422" w:type="pct"/>
            <w:shd w:val="clear" w:color="auto" w:fill="DEEAF6"/>
            <w:hideMark/>
          </w:tcPr>
          <w:p w14:paraId="52518163"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naturels</w:t>
            </w:r>
          </w:p>
        </w:tc>
        <w:tc>
          <w:tcPr>
            <w:tcW w:w="481" w:type="pct"/>
            <w:shd w:val="clear" w:color="auto" w:fill="DEEAF6"/>
            <w:hideMark/>
          </w:tcPr>
          <w:p w14:paraId="1BDD8850"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Mouvements de terrain</w:t>
            </w:r>
          </w:p>
        </w:tc>
        <w:tc>
          <w:tcPr>
            <w:tcW w:w="403" w:type="pct"/>
            <w:shd w:val="clear" w:color="auto" w:fill="DEEAF6"/>
            <w:hideMark/>
          </w:tcPr>
          <w:p w14:paraId="1CC31445"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Cavités souterraines</w:t>
            </w:r>
          </w:p>
        </w:tc>
        <w:tc>
          <w:tcPr>
            <w:tcW w:w="1867" w:type="pct"/>
            <w:shd w:val="clear" w:color="auto" w:fill="DEEAF6"/>
            <w:hideMark/>
          </w:tcPr>
          <w:p w14:paraId="02ED5F2E"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-4 communes font l’objet d’un recensement de 15 cavités</w:t>
            </w:r>
            <w:r w:rsidRPr="00C25D68">
              <w:rPr>
                <w:rFonts w:eastAsia="Times New Roman" w:cs="Arial"/>
                <w:sz w:val="16"/>
                <w:szCs w:val="16"/>
                <w:lang w:eastAsia="fr-FR"/>
              </w:rPr>
              <w:br/>
              <w:t>-Ces cavités sont un patrimoine à conserver et sont liées au phénomène naturel d'érosion des sols qu'il ne faut pas contrarier</w:t>
            </w:r>
          </w:p>
        </w:tc>
        <w:tc>
          <w:tcPr>
            <w:tcW w:w="1827" w:type="pct"/>
            <w:shd w:val="clear" w:color="auto" w:fill="DEEAF6"/>
            <w:hideMark/>
          </w:tcPr>
          <w:p w14:paraId="67691F75"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 xml:space="preserve">-Ces cavités </w:t>
            </w:r>
            <w:proofErr w:type="gramStart"/>
            <w:r w:rsidRPr="00C25D68">
              <w:rPr>
                <w:rFonts w:eastAsia="Times New Roman" w:cs="Arial"/>
                <w:sz w:val="16"/>
                <w:szCs w:val="16"/>
                <w:lang w:eastAsia="fr-FR"/>
              </w:rPr>
              <w:t>peuvent  avoir</w:t>
            </w:r>
            <w:proofErr w:type="gramEnd"/>
            <w:r w:rsidRPr="00C25D68">
              <w:rPr>
                <w:rFonts w:eastAsia="Times New Roman" w:cs="Arial"/>
                <w:sz w:val="16"/>
                <w:szCs w:val="16"/>
                <w:lang w:eastAsia="fr-FR"/>
              </w:rPr>
              <w:t xml:space="preserve"> un impact significatif sur l'utilisation des sols</w:t>
            </w:r>
            <w:r w:rsidRPr="00C25D68">
              <w:rPr>
                <w:rFonts w:eastAsia="Times New Roman" w:cs="Arial"/>
                <w:sz w:val="16"/>
                <w:szCs w:val="16"/>
                <w:lang w:eastAsia="fr-FR"/>
              </w:rPr>
              <w:br/>
              <w:t>-Perdre la mémoire de la localisation de ces cavités, des menaces liées à la présence de ces cavités, de leur rôle dans le phénomène naturel d'érosion des sols</w:t>
            </w:r>
          </w:p>
        </w:tc>
      </w:tr>
      <w:tr w:rsidR="004C1BF8" w:rsidRPr="00C25D68" w14:paraId="1612F53E" w14:textId="77777777" w:rsidTr="00661FE7">
        <w:trPr>
          <w:trHeight w:val="20"/>
        </w:trPr>
        <w:tc>
          <w:tcPr>
            <w:tcW w:w="422" w:type="pct"/>
            <w:shd w:val="clear" w:color="auto" w:fill="auto"/>
            <w:hideMark/>
          </w:tcPr>
          <w:p w14:paraId="66EB0054"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naturels</w:t>
            </w:r>
          </w:p>
        </w:tc>
        <w:tc>
          <w:tcPr>
            <w:tcW w:w="481" w:type="pct"/>
            <w:shd w:val="clear" w:color="auto" w:fill="auto"/>
            <w:hideMark/>
          </w:tcPr>
          <w:p w14:paraId="60789764"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Inondations</w:t>
            </w:r>
          </w:p>
        </w:tc>
        <w:tc>
          <w:tcPr>
            <w:tcW w:w="403" w:type="pct"/>
            <w:shd w:val="clear" w:color="auto" w:fill="auto"/>
            <w:hideMark/>
          </w:tcPr>
          <w:p w14:paraId="0D54C15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Inondations par remontées de nappes</w:t>
            </w:r>
          </w:p>
        </w:tc>
        <w:tc>
          <w:tcPr>
            <w:tcW w:w="1867" w:type="pct"/>
            <w:shd w:val="clear" w:color="auto" w:fill="auto"/>
            <w:hideMark/>
          </w:tcPr>
          <w:p w14:paraId="078A745D"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-Risque présent dans les vallées alluviales</w:t>
            </w:r>
            <w:r w:rsidRPr="00C25D68">
              <w:rPr>
                <w:rFonts w:eastAsia="Times New Roman" w:cs="Arial"/>
                <w:sz w:val="16"/>
                <w:szCs w:val="16"/>
                <w:lang w:eastAsia="fr-FR"/>
              </w:rPr>
              <w:br/>
              <w:t>-Risque présent dans certains secteurs avec un contexte hydrogéologique particulier. Cela concerne une grande partie de la commune de Cagnotte et ponctuellement les autres communes du territoire</w:t>
            </w:r>
          </w:p>
        </w:tc>
        <w:tc>
          <w:tcPr>
            <w:tcW w:w="1827" w:type="pct"/>
            <w:shd w:val="clear" w:color="auto" w:fill="auto"/>
            <w:hideMark/>
          </w:tcPr>
          <w:p w14:paraId="659EBF04"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-Refuser ou sous-estimer le risque</w:t>
            </w:r>
            <w:r w:rsidRPr="00C25D68">
              <w:rPr>
                <w:rFonts w:eastAsia="Times New Roman" w:cs="Arial"/>
                <w:sz w:val="16"/>
                <w:szCs w:val="16"/>
                <w:lang w:eastAsia="fr-FR"/>
              </w:rPr>
              <w:br/>
              <w:t xml:space="preserve">-Les exemples du lotissement du PLACH sur la commune de Cagnotte, et du secteur du Moulin de Claquin sur la commune de </w:t>
            </w:r>
            <w:proofErr w:type="spellStart"/>
            <w:r w:rsidRPr="00C25D68">
              <w:rPr>
                <w:rFonts w:eastAsia="Times New Roman" w:cs="Arial"/>
                <w:sz w:val="16"/>
                <w:szCs w:val="16"/>
                <w:lang w:eastAsia="fr-FR"/>
              </w:rPr>
              <w:t>Bélus</w:t>
            </w:r>
            <w:proofErr w:type="spellEnd"/>
            <w:r w:rsidRPr="00C25D68">
              <w:rPr>
                <w:rFonts w:eastAsia="Times New Roman" w:cs="Arial"/>
                <w:sz w:val="16"/>
                <w:szCs w:val="16"/>
                <w:lang w:eastAsia="fr-FR"/>
              </w:rPr>
              <w:t>, montrent l’intérêt d’utiliser cette cartographie pour les stratégies d’aménagement du PLUI</w:t>
            </w:r>
          </w:p>
        </w:tc>
      </w:tr>
      <w:tr w:rsidR="004C1BF8" w:rsidRPr="00C25D68" w14:paraId="51D64582" w14:textId="77777777" w:rsidTr="00661FE7">
        <w:trPr>
          <w:trHeight w:val="20"/>
        </w:trPr>
        <w:tc>
          <w:tcPr>
            <w:tcW w:w="422" w:type="pct"/>
            <w:shd w:val="clear" w:color="auto" w:fill="DEEAF6"/>
            <w:hideMark/>
          </w:tcPr>
          <w:p w14:paraId="7056F781"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Risques majeurs naturels</w:t>
            </w:r>
          </w:p>
        </w:tc>
        <w:tc>
          <w:tcPr>
            <w:tcW w:w="481" w:type="pct"/>
            <w:shd w:val="clear" w:color="auto" w:fill="DEEAF6"/>
            <w:hideMark/>
          </w:tcPr>
          <w:p w14:paraId="5362019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Inondations</w:t>
            </w:r>
          </w:p>
        </w:tc>
        <w:tc>
          <w:tcPr>
            <w:tcW w:w="403" w:type="pct"/>
            <w:shd w:val="clear" w:color="auto" w:fill="DEEAF6"/>
            <w:hideMark/>
          </w:tcPr>
          <w:p w14:paraId="71E466F4"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Inondations par débordement de cours d’eau</w:t>
            </w:r>
          </w:p>
        </w:tc>
        <w:tc>
          <w:tcPr>
            <w:tcW w:w="1867" w:type="pct"/>
            <w:shd w:val="clear" w:color="auto" w:fill="DEEAF6"/>
            <w:hideMark/>
          </w:tcPr>
          <w:p w14:paraId="624EA210"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-Atlas de zones inondables du fleuve Adour et des gaves</w:t>
            </w:r>
            <w:r w:rsidRPr="00C25D68">
              <w:rPr>
                <w:rFonts w:eastAsia="Times New Roman" w:cs="Arial"/>
                <w:sz w:val="16"/>
                <w:szCs w:val="16"/>
                <w:lang w:eastAsia="fr-FR"/>
              </w:rPr>
              <w:br/>
              <w:t>-Plan de Prévention des Risques Naturels d'Inondation uniquement sur les communes de Peyrehorade, Oeyregave, Hastingues</w:t>
            </w:r>
            <w:r w:rsidRPr="00C25D68">
              <w:rPr>
                <w:rFonts w:eastAsia="Times New Roman" w:cs="Arial"/>
                <w:sz w:val="16"/>
                <w:szCs w:val="16"/>
                <w:lang w:eastAsia="fr-FR"/>
              </w:rPr>
              <w:br/>
              <w:t>-Une urbanisation présente mais relativement limitée dans les zones soumises aux débordements des cours d'eau</w:t>
            </w:r>
          </w:p>
        </w:tc>
        <w:tc>
          <w:tcPr>
            <w:tcW w:w="1827" w:type="pct"/>
            <w:shd w:val="clear" w:color="auto" w:fill="DEEAF6"/>
            <w:hideMark/>
          </w:tcPr>
          <w:p w14:paraId="7DAC30BA"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-Oubli ou refus du risque</w:t>
            </w:r>
            <w:r w:rsidRPr="00C25D68">
              <w:rPr>
                <w:rFonts w:eastAsia="Times New Roman" w:cs="Arial"/>
                <w:sz w:val="16"/>
                <w:szCs w:val="16"/>
                <w:lang w:eastAsia="fr-FR"/>
              </w:rPr>
              <w:br/>
              <w:t>-habitations qui ne sont plus adaptées aux inondations (rénovation, constructions neuves, suppression de l’étage)</w:t>
            </w:r>
            <w:r w:rsidRPr="00C25D68">
              <w:rPr>
                <w:rFonts w:eastAsia="Times New Roman" w:cs="Arial"/>
                <w:sz w:val="16"/>
                <w:szCs w:val="16"/>
                <w:lang w:eastAsia="fr-FR"/>
              </w:rPr>
              <w:br/>
              <w:t>-Un changement et une augmentation de la population n’ayant pas cette culture de l’inondabilité.</w:t>
            </w:r>
            <w:r w:rsidRPr="00C25D68">
              <w:rPr>
                <w:rFonts w:eastAsia="Times New Roman" w:cs="Arial"/>
                <w:sz w:val="16"/>
                <w:szCs w:val="16"/>
                <w:lang w:eastAsia="fr-FR"/>
              </w:rPr>
              <w:br/>
              <w:t>-Une augmentation de l’imperméabilisation des sols</w:t>
            </w:r>
            <w:r w:rsidRPr="00C25D68">
              <w:rPr>
                <w:rFonts w:eastAsia="Times New Roman" w:cs="Arial"/>
                <w:sz w:val="16"/>
                <w:szCs w:val="16"/>
                <w:lang w:eastAsia="fr-FR"/>
              </w:rPr>
              <w:br/>
              <w:t>-La disparition des zones marécageuses (bois, prairies, etc.)</w:t>
            </w:r>
            <w:r w:rsidRPr="00C25D68">
              <w:rPr>
                <w:rFonts w:eastAsia="Times New Roman" w:cs="Arial"/>
                <w:sz w:val="16"/>
                <w:szCs w:val="16"/>
                <w:lang w:eastAsia="fr-FR"/>
              </w:rPr>
              <w:br/>
              <w:t>-Un recalibrage des canaux et fossés de drainage trop important</w:t>
            </w:r>
          </w:p>
        </w:tc>
      </w:tr>
      <w:tr w:rsidR="004C1BF8" w:rsidRPr="00C25D68" w14:paraId="3721633C" w14:textId="77777777" w:rsidTr="00661FE7">
        <w:trPr>
          <w:trHeight w:val="20"/>
        </w:trPr>
        <w:tc>
          <w:tcPr>
            <w:tcW w:w="422" w:type="pct"/>
            <w:shd w:val="clear" w:color="auto" w:fill="auto"/>
            <w:hideMark/>
          </w:tcPr>
          <w:p w14:paraId="24356279"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Nuisances</w:t>
            </w:r>
          </w:p>
        </w:tc>
        <w:tc>
          <w:tcPr>
            <w:tcW w:w="481" w:type="pct"/>
            <w:shd w:val="clear" w:color="auto" w:fill="auto"/>
            <w:hideMark/>
          </w:tcPr>
          <w:p w14:paraId="2F0F720E"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Risque minier</w:t>
            </w:r>
          </w:p>
        </w:tc>
        <w:tc>
          <w:tcPr>
            <w:tcW w:w="403" w:type="pct"/>
            <w:shd w:val="clear" w:color="auto" w:fill="auto"/>
            <w:hideMark/>
          </w:tcPr>
          <w:p w14:paraId="7E976277"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auto"/>
            <w:hideMark/>
          </w:tcPr>
          <w:p w14:paraId="10A97834"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xml:space="preserve">Les services de l'Etat ont </w:t>
            </w:r>
            <w:proofErr w:type="gramStart"/>
            <w:r w:rsidRPr="00C25D68">
              <w:rPr>
                <w:rFonts w:eastAsia="Times New Roman" w:cs="Arial"/>
                <w:sz w:val="16"/>
                <w:szCs w:val="16"/>
                <w:lang w:eastAsia="fr-FR"/>
              </w:rPr>
              <w:t>recensés</w:t>
            </w:r>
            <w:proofErr w:type="gramEnd"/>
            <w:r w:rsidRPr="00C25D68">
              <w:rPr>
                <w:rFonts w:eastAsia="Times New Roman" w:cs="Arial"/>
                <w:sz w:val="16"/>
                <w:szCs w:val="16"/>
                <w:lang w:eastAsia="fr-FR"/>
              </w:rPr>
              <w:t xml:space="preserve"> les anciens forages d'hydrocarbures (</w:t>
            </w:r>
            <w:proofErr w:type="spellStart"/>
            <w:r w:rsidRPr="00C25D68">
              <w:rPr>
                <w:rFonts w:eastAsia="Times New Roman" w:cs="Arial"/>
                <w:sz w:val="16"/>
                <w:szCs w:val="16"/>
                <w:lang w:eastAsia="fr-FR"/>
              </w:rPr>
              <w:t>pétrol</w:t>
            </w:r>
            <w:proofErr w:type="spellEnd"/>
            <w:r w:rsidRPr="00C25D68">
              <w:rPr>
                <w:rFonts w:eastAsia="Times New Roman" w:cs="Arial"/>
                <w:sz w:val="16"/>
                <w:szCs w:val="16"/>
                <w:lang w:eastAsia="fr-FR"/>
              </w:rPr>
              <w:t xml:space="preserve"> et gaz)</w:t>
            </w:r>
          </w:p>
        </w:tc>
        <w:tc>
          <w:tcPr>
            <w:tcW w:w="1827" w:type="pct"/>
            <w:shd w:val="clear" w:color="auto" w:fill="auto"/>
            <w:hideMark/>
          </w:tcPr>
          <w:p w14:paraId="507517DD"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xml:space="preserve">Ces anciens forages </w:t>
            </w:r>
            <w:proofErr w:type="gramStart"/>
            <w:r w:rsidRPr="00C25D68">
              <w:rPr>
                <w:rFonts w:eastAsia="Times New Roman" w:cs="Arial"/>
                <w:sz w:val="16"/>
                <w:szCs w:val="16"/>
                <w:lang w:eastAsia="fr-FR"/>
              </w:rPr>
              <w:t>peuvent  avoir</w:t>
            </w:r>
            <w:proofErr w:type="gramEnd"/>
            <w:r w:rsidRPr="00C25D68">
              <w:rPr>
                <w:rFonts w:eastAsia="Times New Roman" w:cs="Arial"/>
                <w:sz w:val="16"/>
                <w:szCs w:val="16"/>
                <w:lang w:eastAsia="fr-FR"/>
              </w:rPr>
              <w:t xml:space="preserve"> un impact significatif sur l'utilisation des sols</w:t>
            </w:r>
          </w:p>
        </w:tc>
      </w:tr>
      <w:tr w:rsidR="004C1BF8" w:rsidRPr="00C25D68" w14:paraId="1DF1F179" w14:textId="77777777" w:rsidTr="00661FE7">
        <w:trPr>
          <w:trHeight w:val="20"/>
        </w:trPr>
        <w:tc>
          <w:tcPr>
            <w:tcW w:w="422" w:type="pct"/>
            <w:shd w:val="clear" w:color="auto" w:fill="DEEAF6"/>
            <w:hideMark/>
          </w:tcPr>
          <w:p w14:paraId="16E8C87F"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Nuisances</w:t>
            </w:r>
          </w:p>
        </w:tc>
        <w:tc>
          <w:tcPr>
            <w:tcW w:w="481" w:type="pct"/>
            <w:shd w:val="clear" w:color="auto" w:fill="DEEAF6"/>
            <w:hideMark/>
          </w:tcPr>
          <w:p w14:paraId="7B605F7D"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Déchets</w:t>
            </w:r>
          </w:p>
        </w:tc>
        <w:tc>
          <w:tcPr>
            <w:tcW w:w="403" w:type="pct"/>
            <w:shd w:val="clear" w:color="auto" w:fill="DEEAF6"/>
            <w:hideMark/>
          </w:tcPr>
          <w:p w14:paraId="3B3C36D2"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DEEAF6"/>
            <w:hideMark/>
          </w:tcPr>
          <w:p w14:paraId="100FEC3C"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 xml:space="preserve">-Quatre déchetteries sont implantées sur les communes d’Orist, Orthevielle, Peyrehorade et </w:t>
            </w:r>
            <w:proofErr w:type="spellStart"/>
            <w:r w:rsidRPr="00C25D68">
              <w:rPr>
                <w:rFonts w:eastAsia="Times New Roman" w:cs="Arial"/>
                <w:sz w:val="16"/>
                <w:szCs w:val="16"/>
                <w:lang w:eastAsia="fr-FR"/>
              </w:rPr>
              <w:t>Sorde</w:t>
            </w:r>
            <w:proofErr w:type="spellEnd"/>
            <w:r w:rsidRPr="00C25D68">
              <w:rPr>
                <w:rFonts w:eastAsia="Times New Roman" w:cs="Arial"/>
                <w:sz w:val="16"/>
                <w:szCs w:val="16"/>
                <w:lang w:eastAsia="fr-FR"/>
              </w:rPr>
              <w:t xml:space="preserve"> l’Abbaye. </w:t>
            </w:r>
            <w:r w:rsidRPr="00C25D68">
              <w:rPr>
                <w:rFonts w:eastAsia="Times New Roman" w:cs="Arial"/>
                <w:sz w:val="16"/>
                <w:szCs w:val="16"/>
                <w:lang w:eastAsia="fr-FR"/>
              </w:rPr>
              <w:br/>
              <w:t>-Projet à Labatut d’une déchetterie</w:t>
            </w:r>
          </w:p>
        </w:tc>
        <w:tc>
          <w:tcPr>
            <w:tcW w:w="1827" w:type="pct"/>
            <w:shd w:val="clear" w:color="auto" w:fill="DEEAF6"/>
            <w:hideMark/>
          </w:tcPr>
          <w:p w14:paraId="4DE67A62"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5ED3C779" w14:textId="77777777" w:rsidTr="00661FE7">
        <w:trPr>
          <w:trHeight w:val="20"/>
        </w:trPr>
        <w:tc>
          <w:tcPr>
            <w:tcW w:w="422" w:type="pct"/>
            <w:shd w:val="clear" w:color="auto" w:fill="auto"/>
            <w:hideMark/>
          </w:tcPr>
          <w:p w14:paraId="65C969B3"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Nuisances</w:t>
            </w:r>
          </w:p>
        </w:tc>
        <w:tc>
          <w:tcPr>
            <w:tcW w:w="481" w:type="pct"/>
            <w:shd w:val="clear" w:color="auto" w:fill="auto"/>
            <w:hideMark/>
          </w:tcPr>
          <w:p w14:paraId="7AE8E173"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Bruit</w:t>
            </w:r>
          </w:p>
        </w:tc>
        <w:tc>
          <w:tcPr>
            <w:tcW w:w="403" w:type="pct"/>
            <w:shd w:val="clear" w:color="auto" w:fill="auto"/>
            <w:hideMark/>
          </w:tcPr>
          <w:p w14:paraId="531DE86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auto"/>
            <w:hideMark/>
          </w:tcPr>
          <w:p w14:paraId="3D6A4396"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-Bruit lié aux infrastructures routières</w:t>
            </w:r>
            <w:r w:rsidRPr="00C25D68">
              <w:rPr>
                <w:rFonts w:eastAsia="Times New Roman" w:cs="Arial"/>
                <w:sz w:val="16"/>
                <w:szCs w:val="16"/>
                <w:lang w:eastAsia="fr-FR"/>
              </w:rPr>
              <w:br/>
              <w:t>-Bruit lié aux activités : industrielle ou commerciale, gestion des eaux, transport, ICPE</w:t>
            </w:r>
            <w:r w:rsidRPr="00C25D68">
              <w:rPr>
                <w:rFonts w:eastAsia="Times New Roman" w:cs="Arial"/>
                <w:sz w:val="16"/>
                <w:szCs w:val="16"/>
                <w:lang w:eastAsia="fr-FR"/>
              </w:rPr>
              <w:br/>
              <w:t>-Bâtiments et les secteurs sensibles au bruit : sport, enseignement, cultures et loisirs, administratif</w:t>
            </w:r>
          </w:p>
        </w:tc>
        <w:tc>
          <w:tcPr>
            <w:tcW w:w="1827" w:type="pct"/>
            <w:shd w:val="clear" w:color="auto" w:fill="auto"/>
            <w:hideMark/>
          </w:tcPr>
          <w:p w14:paraId="30AFAEDB"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br/>
              <w:t xml:space="preserve">-Densification du bâti en bordure de route ou </w:t>
            </w:r>
            <w:proofErr w:type="spellStart"/>
            <w:r w:rsidRPr="00C25D68">
              <w:rPr>
                <w:rFonts w:eastAsia="Times New Roman" w:cs="Arial"/>
                <w:sz w:val="16"/>
                <w:szCs w:val="16"/>
                <w:lang w:eastAsia="fr-FR"/>
              </w:rPr>
              <w:t>non respect</w:t>
            </w:r>
            <w:proofErr w:type="spellEnd"/>
            <w:r w:rsidRPr="00C25D68">
              <w:rPr>
                <w:rFonts w:eastAsia="Times New Roman" w:cs="Arial"/>
                <w:sz w:val="16"/>
                <w:szCs w:val="16"/>
                <w:lang w:eastAsia="fr-FR"/>
              </w:rPr>
              <w:t xml:space="preserve"> des prescriptions relatives aux caractéristiques acoustiques qui s'appliquent dans les secteurs délimités de part et d’autre de ces infrastructures</w:t>
            </w:r>
            <w:r w:rsidRPr="00C25D68">
              <w:rPr>
                <w:rFonts w:eastAsia="Times New Roman" w:cs="Arial"/>
                <w:sz w:val="16"/>
                <w:szCs w:val="16"/>
                <w:lang w:eastAsia="fr-FR"/>
              </w:rPr>
              <w:br/>
              <w:t xml:space="preserve">-Implantation d’établissements sensibles (crèches, établissements scolaires, établissements de </w:t>
            </w:r>
            <w:proofErr w:type="gramStart"/>
            <w:r w:rsidRPr="00C25D68">
              <w:rPr>
                <w:rFonts w:eastAsia="Times New Roman" w:cs="Arial"/>
                <w:sz w:val="16"/>
                <w:szCs w:val="16"/>
                <w:lang w:eastAsia="fr-FR"/>
              </w:rPr>
              <w:t>santé,...</w:t>
            </w:r>
            <w:proofErr w:type="gramEnd"/>
            <w:r w:rsidRPr="00C25D68">
              <w:rPr>
                <w:rFonts w:eastAsia="Times New Roman" w:cs="Arial"/>
                <w:sz w:val="16"/>
                <w:szCs w:val="16"/>
                <w:lang w:eastAsia="fr-FR"/>
              </w:rPr>
              <w:t>) dans les secteurs affectés par le bruit</w:t>
            </w:r>
            <w:r w:rsidRPr="00C25D68">
              <w:rPr>
                <w:rFonts w:eastAsia="Times New Roman" w:cs="Arial"/>
                <w:sz w:val="16"/>
                <w:szCs w:val="16"/>
                <w:lang w:eastAsia="fr-FR"/>
              </w:rPr>
              <w:br/>
              <w:t>-</w:t>
            </w:r>
            <w:proofErr w:type="spellStart"/>
            <w:proofErr w:type="gramStart"/>
            <w:r w:rsidRPr="00C25D68">
              <w:rPr>
                <w:rFonts w:eastAsia="Times New Roman" w:cs="Arial"/>
                <w:sz w:val="16"/>
                <w:szCs w:val="16"/>
                <w:lang w:eastAsia="fr-FR"/>
              </w:rPr>
              <w:t>Non respect</w:t>
            </w:r>
            <w:proofErr w:type="spellEnd"/>
            <w:proofErr w:type="gramEnd"/>
            <w:r w:rsidRPr="00C25D68">
              <w:rPr>
                <w:rFonts w:eastAsia="Times New Roman" w:cs="Arial"/>
                <w:sz w:val="16"/>
                <w:szCs w:val="16"/>
                <w:lang w:eastAsia="fr-FR"/>
              </w:rPr>
              <w:t xml:space="preserve"> de la réglementation relative au bruit vis-à-vis du voisinage</w:t>
            </w:r>
          </w:p>
        </w:tc>
      </w:tr>
      <w:tr w:rsidR="004C1BF8" w:rsidRPr="00C25D68" w14:paraId="20E585F8" w14:textId="77777777" w:rsidTr="00661FE7">
        <w:trPr>
          <w:trHeight w:val="20"/>
        </w:trPr>
        <w:tc>
          <w:tcPr>
            <w:tcW w:w="422" w:type="pct"/>
            <w:shd w:val="clear" w:color="auto" w:fill="DEEAF6"/>
            <w:hideMark/>
          </w:tcPr>
          <w:p w14:paraId="7D984478" w14:textId="77777777" w:rsidR="004C1BF8" w:rsidRPr="00C25D68" w:rsidRDefault="004C1BF8" w:rsidP="00661FE7">
            <w:pPr>
              <w:spacing w:after="0" w:line="240" w:lineRule="auto"/>
              <w:jc w:val="center"/>
              <w:rPr>
                <w:rFonts w:eastAsia="Times New Roman" w:cs="Arial"/>
                <w:b/>
                <w:bCs/>
                <w:sz w:val="16"/>
                <w:szCs w:val="16"/>
                <w:lang w:eastAsia="fr-FR"/>
              </w:rPr>
            </w:pPr>
            <w:r w:rsidRPr="00C25D68">
              <w:rPr>
                <w:rFonts w:eastAsia="Times New Roman" w:cs="Arial"/>
                <w:sz w:val="16"/>
                <w:szCs w:val="16"/>
                <w:lang w:eastAsia="fr-FR"/>
              </w:rPr>
              <w:t>Nuisances</w:t>
            </w:r>
          </w:p>
        </w:tc>
        <w:tc>
          <w:tcPr>
            <w:tcW w:w="481" w:type="pct"/>
            <w:shd w:val="clear" w:color="auto" w:fill="DEEAF6"/>
            <w:hideMark/>
          </w:tcPr>
          <w:p w14:paraId="5587B5CA"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Carrières</w:t>
            </w:r>
          </w:p>
        </w:tc>
        <w:tc>
          <w:tcPr>
            <w:tcW w:w="403" w:type="pct"/>
            <w:shd w:val="clear" w:color="auto" w:fill="DEEAF6"/>
            <w:hideMark/>
          </w:tcPr>
          <w:p w14:paraId="5255EC82"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DEEAF6"/>
            <w:hideMark/>
          </w:tcPr>
          <w:p w14:paraId="455F272B" w14:textId="77777777" w:rsidR="004C1BF8" w:rsidRPr="00C25D68" w:rsidRDefault="004C1BF8" w:rsidP="00661FE7">
            <w:pPr>
              <w:spacing w:after="0" w:line="240" w:lineRule="auto"/>
              <w:rPr>
                <w:rFonts w:eastAsia="Times New Roman" w:cs="Arial"/>
                <w:sz w:val="16"/>
                <w:szCs w:val="16"/>
                <w:lang w:eastAsia="fr-FR"/>
              </w:rPr>
            </w:pPr>
            <w:proofErr w:type="gramStart"/>
            <w:r w:rsidRPr="00C25D68">
              <w:rPr>
                <w:rFonts w:eastAsia="Times New Roman" w:cs="Arial"/>
                <w:sz w:val="16"/>
                <w:szCs w:val="16"/>
                <w:lang w:eastAsia="fr-FR"/>
              </w:rPr>
              <w:t>deux</w:t>
            </w:r>
            <w:proofErr w:type="gramEnd"/>
            <w:r w:rsidRPr="00C25D68">
              <w:rPr>
                <w:rFonts w:eastAsia="Times New Roman" w:cs="Arial"/>
                <w:sz w:val="16"/>
                <w:szCs w:val="16"/>
                <w:lang w:eastAsia="fr-FR"/>
              </w:rPr>
              <w:t xml:space="preserve"> carrières en activité sur les communes de Port-de-Lanne et St-</w:t>
            </w:r>
            <w:proofErr w:type="spellStart"/>
            <w:r w:rsidRPr="00C25D68">
              <w:rPr>
                <w:rFonts w:eastAsia="Times New Roman" w:cs="Arial"/>
                <w:sz w:val="16"/>
                <w:szCs w:val="16"/>
                <w:lang w:eastAsia="fr-FR"/>
              </w:rPr>
              <w:t>Cricq</w:t>
            </w:r>
            <w:proofErr w:type="spellEnd"/>
            <w:r w:rsidRPr="00C25D68">
              <w:rPr>
                <w:rFonts w:eastAsia="Times New Roman" w:cs="Arial"/>
                <w:sz w:val="16"/>
                <w:szCs w:val="16"/>
                <w:lang w:eastAsia="fr-FR"/>
              </w:rPr>
              <w:t>-du-Gave</w:t>
            </w:r>
          </w:p>
        </w:tc>
        <w:tc>
          <w:tcPr>
            <w:tcW w:w="1827" w:type="pct"/>
            <w:shd w:val="clear" w:color="auto" w:fill="DEEAF6"/>
            <w:hideMark/>
          </w:tcPr>
          <w:p w14:paraId="6E6E84B2"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Exposer les populations aux nuisances de l’activité</w:t>
            </w:r>
          </w:p>
        </w:tc>
      </w:tr>
      <w:tr w:rsidR="004C1BF8" w:rsidRPr="00C25D68" w14:paraId="5630A68D" w14:textId="77777777" w:rsidTr="00661FE7">
        <w:trPr>
          <w:trHeight w:val="20"/>
        </w:trPr>
        <w:tc>
          <w:tcPr>
            <w:tcW w:w="422" w:type="pct"/>
            <w:shd w:val="clear" w:color="auto" w:fill="auto"/>
            <w:hideMark/>
          </w:tcPr>
          <w:p w14:paraId="205144C0" w14:textId="77777777" w:rsidR="004C1BF8" w:rsidRPr="00C25D68" w:rsidRDefault="004C1BF8" w:rsidP="00661FE7">
            <w:pPr>
              <w:spacing w:after="0" w:line="240" w:lineRule="auto"/>
              <w:jc w:val="center"/>
              <w:rPr>
                <w:rFonts w:eastAsia="Times New Roman" w:cs="Arial"/>
                <w:b/>
                <w:bCs/>
                <w:sz w:val="16"/>
                <w:szCs w:val="16"/>
                <w:lang w:eastAsia="fr-FR"/>
              </w:rPr>
            </w:pPr>
            <w:proofErr w:type="gramStart"/>
            <w:r w:rsidRPr="00C25D68">
              <w:rPr>
                <w:rFonts w:eastAsia="Times New Roman" w:cs="Arial"/>
                <w:sz w:val="16"/>
                <w:szCs w:val="16"/>
                <w:lang w:eastAsia="fr-FR"/>
              </w:rPr>
              <w:t>contexte</w:t>
            </w:r>
            <w:proofErr w:type="gramEnd"/>
            <w:r w:rsidRPr="00C25D68">
              <w:rPr>
                <w:rFonts w:eastAsia="Times New Roman" w:cs="Arial"/>
                <w:sz w:val="16"/>
                <w:szCs w:val="16"/>
                <w:lang w:eastAsia="fr-FR"/>
              </w:rPr>
              <w:t xml:space="preserve"> paysager</w:t>
            </w:r>
          </w:p>
        </w:tc>
        <w:tc>
          <w:tcPr>
            <w:tcW w:w="481" w:type="pct"/>
            <w:shd w:val="clear" w:color="auto" w:fill="auto"/>
            <w:hideMark/>
          </w:tcPr>
          <w:p w14:paraId="68C7426E" w14:textId="77777777" w:rsidR="004C1BF8" w:rsidRPr="00C25D68" w:rsidRDefault="004C1BF8" w:rsidP="00661FE7">
            <w:pPr>
              <w:spacing w:after="0" w:line="240" w:lineRule="auto"/>
              <w:jc w:val="center"/>
              <w:rPr>
                <w:rFonts w:eastAsia="Times New Roman" w:cs="Arial"/>
                <w:sz w:val="16"/>
                <w:szCs w:val="16"/>
                <w:lang w:eastAsia="fr-FR"/>
              </w:rPr>
            </w:pPr>
            <w:proofErr w:type="gramStart"/>
            <w:r w:rsidRPr="00C25D68">
              <w:rPr>
                <w:rFonts w:eastAsia="Times New Roman" w:cs="Arial"/>
                <w:sz w:val="16"/>
                <w:szCs w:val="16"/>
                <w:lang w:eastAsia="fr-FR"/>
              </w:rPr>
              <w:t>les</w:t>
            </w:r>
            <w:proofErr w:type="gramEnd"/>
            <w:r w:rsidRPr="00C25D68">
              <w:rPr>
                <w:rFonts w:eastAsia="Times New Roman" w:cs="Arial"/>
                <w:sz w:val="16"/>
                <w:szCs w:val="16"/>
                <w:lang w:eastAsia="fr-FR"/>
              </w:rPr>
              <w:t xml:space="preserve"> grands paysages</w:t>
            </w:r>
          </w:p>
        </w:tc>
        <w:tc>
          <w:tcPr>
            <w:tcW w:w="403" w:type="pct"/>
            <w:shd w:val="clear" w:color="auto" w:fill="auto"/>
            <w:hideMark/>
          </w:tcPr>
          <w:p w14:paraId="3F4C5725"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 </w:t>
            </w:r>
          </w:p>
        </w:tc>
        <w:tc>
          <w:tcPr>
            <w:tcW w:w="1867" w:type="pct"/>
            <w:shd w:val="clear" w:color="auto" w:fill="auto"/>
            <w:hideMark/>
          </w:tcPr>
          <w:p w14:paraId="6EB7F078"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c>
          <w:tcPr>
            <w:tcW w:w="1827" w:type="pct"/>
            <w:shd w:val="clear" w:color="auto" w:fill="auto"/>
            <w:hideMark/>
          </w:tcPr>
          <w:p w14:paraId="2191171E"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078B0A86" w14:textId="77777777" w:rsidTr="00661FE7">
        <w:trPr>
          <w:trHeight w:val="20"/>
        </w:trPr>
        <w:tc>
          <w:tcPr>
            <w:tcW w:w="422" w:type="pct"/>
            <w:shd w:val="clear" w:color="auto" w:fill="DEEAF6"/>
            <w:hideMark/>
          </w:tcPr>
          <w:p w14:paraId="23724218" w14:textId="77777777" w:rsidR="004C1BF8" w:rsidRPr="00C25D68" w:rsidRDefault="004C1BF8" w:rsidP="00661FE7">
            <w:pPr>
              <w:spacing w:after="0" w:line="240" w:lineRule="auto"/>
              <w:jc w:val="center"/>
              <w:rPr>
                <w:rFonts w:eastAsia="Times New Roman" w:cs="Arial"/>
                <w:b/>
                <w:bCs/>
                <w:sz w:val="16"/>
                <w:szCs w:val="16"/>
                <w:lang w:eastAsia="fr-FR"/>
              </w:rPr>
            </w:pPr>
            <w:proofErr w:type="gramStart"/>
            <w:r w:rsidRPr="00C25D68">
              <w:rPr>
                <w:rFonts w:eastAsia="Times New Roman" w:cs="Arial"/>
                <w:sz w:val="16"/>
                <w:szCs w:val="16"/>
                <w:lang w:eastAsia="fr-FR"/>
              </w:rPr>
              <w:t>contexte</w:t>
            </w:r>
            <w:proofErr w:type="gramEnd"/>
            <w:r w:rsidRPr="00C25D68">
              <w:rPr>
                <w:rFonts w:eastAsia="Times New Roman" w:cs="Arial"/>
                <w:sz w:val="16"/>
                <w:szCs w:val="16"/>
                <w:lang w:eastAsia="fr-FR"/>
              </w:rPr>
              <w:t xml:space="preserve"> paysager</w:t>
            </w:r>
          </w:p>
        </w:tc>
        <w:tc>
          <w:tcPr>
            <w:tcW w:w="481" w:type="pct"/>
            <w:shd w:val="clear" w:color="auto" w:fill="DEEAF6"/>
            <w:hideMark/>
          </w:tcPr>
          <w:p w14:paraId="715E6882" w14:textId="77777777" w:rsidR="004C1BF8" w:rsidRPr="00C25D68" w:rsidRDefault="004C1BF8" w:rsidP="00661FE7">
            <w:pPr>
              <w:spacing w:after="0" w:line="240" w:lineRule="auto"/>
              <w:jc w:val="center"/>
              <w:rPr>
                <w:rFonts w:eastAsia="Times New Roman" w:cs="Arial"/>
                <w:sz w:val="16"/>
                <w:szCs w:val="16"/>
                <w:lang w:eastAsia="fr-FR"/>
              </w:rPr>
            </w:pPr>
            <w:proofErr w:type="gramStart"/>
            <w:r w:rsidRPr="00C25D68">
              <w:rPr>
                <w:rFonts w:eastAsia="Times New Roman" w:cs="Arial"/>
                <w:sz w:val="16"/>
                <w:szCs w:val="16"/>
                <w:lang w:eastAsia="fr-FR"/>
              </w:rPr>
              <w:t>cadre</w:t>
            </w:r>
            <w:proofErr w:type="gramEnd"/>
            <w:r w:rsidRPr="00C25D68">
              <w:rPr>
                <w:rFonts w:eastAsia="Times New Roman" w:cs="Arial"/>
                <w:sz w:val="16"/>
                <w:szCs w:val="16"/>
                <w:lang w:eastAsia="fr-FR"/>
              </w:rPr>
              <w:t xml:space="preserve"> de vie</w:t>
            </w:r>
          </w:p>
        </w:tc>
        <w:tc>
          <w:tcPr>
            <w:tcW w:w="403" w:type="pct"/>
            <w:shd w:val="clear" w:color="auto" w:fill="DEEAF6"/>
            <w:hideMark/>
          </w:tcPr>
          <w:p w14:paraId="4DDC429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Identité architecturale</w:t>
            </w:r>
          </w:p>
        </w:tc>
        <w:tc>
          <w:tcPr>
            <w:tcW w:w="1867" w:type="pct"/>
            <w:shd w:val="clear" w:color="auto" w:fill="DEEAF6"/>
            <w:hideMark/>
          </w:tcPr>
          <w:p w14:paraId="15F4060F"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c>
          <w:tcPr>
            <w:tcW w:w="1827" w:type="pct"/>
            <w:shd w:val="clear" w:color="auto" w:fill="DEEAF6"/>
            <w:hideMark/>
          </w:tcPr>
          <w:p w14:paraId="4D992771"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69C9185C" w14:textId="77777777" w:rsidTr="00661FE7">
        <w:trPr>
          <w:trHeight w:val="20"/>
        </w:trPr>
        <w:tc>
          <w:tcPr>
            <w:tcW w:w="422" w:type="pct"/>
            <w:shd w:val="clear" w:color="auto" w:fill="auto"/>
            <w:hideMark/>
          </w:tcPr>
          <w:p w14:paraId="7C1F5C71" w14:textId="77777777" w:rsidR="004C1BF8" w:rsidRPr="00C25D68" w:rsidRDefault="004C1BF8" w:rsidP="00661FE7">
            <w:pPr>
              <w:spacing w:after="0" w:line="240" w:lineRule="auto"/>
              <w:jc w:val="center"/>
              <w:rPr>
                <w:rFonts w:eastAsia="Times New Roman" w:cs="Arial"/>
                <w:b/>
                <w:bCs/>
                <w:sz w:val="16"/>
                <w:szCs w:val="16"/>
                <w:lang w:eastAsia="fr-FR"/>
              </w:rPr>
            </w:pPr>
            <w:proofErr w:type="gramStart"/>
            <w:r w:rsidRPr="00C25D68">
              <w:rPr>
                <w:rFonts w:eastAsia="Times New Roman" w:cs="Arial"/>
                <w:sz w:val="16"/>
                <w:szCs w:val="16"/>
                <w:lang w:eastAsia="fr-FR"/>
              </w:rPr>
              <w:t>contexte</w:t>
            </w:r>
            <w:proofErr w:type="gramEnd"/>
            <w:r w:rsidRPr="00C25D68">
              <w:rPr>
                <w:rFonts w:eastAsia="Times New Roman" w:cs="Arial"/>
                <w:sz w:val="16"/>
                <w:szCs w:val="16"/>
                <w:lang w:eastAsia="fr-FR"/>
              </w:rPr>
              <w:t xml:space="preserve"> paysager</w:t>
            </w:r>
          </w:p>
        </w:tc>
        <w:tc>
          <w:tcPr>
            <w:tcW w:w="481" w:type="pct"/>
            <w:shd w:val="clear" w:color="auto" w:fill="auto"/>
            <w:hideMark/>
          </w:tcPr>
          <w:p w14:paraId="5A2A49DE" w14:textId="77777777" w:rsidR="004C1BF8" w:rsidRPr="00C25D68" w:rsidRDefault="004C1BF8" w:rsidP="00661FE7">
            <w:pPr>
              <w:spacing w:after="0" w:line="240" w:lineRule="auto"/>
              <w:jc w:val="center"/>
              <w:rPr>
                <w:rFonts w:eastAsia="Times New Roman" w:cs="Arial"/>
                <w:sz w:val="16"/>
                <w:szCs w:val="16"/>
                <w:lang w:eastAsia="fr-FR"/>
              </w:rPr>
            </w:pPr>
            <w:proofErr w:type="gramStart"/>
            <w:r w:rsidRPr="00C25D68">
              <w:rPr>
                <w:rFonts w:eastAsia="Times New Roman" w:cs="Arial"/>
                <w:sz w:val="16"/>
                <w:szCs w:val="16"/>
                <w:lang w:eastAsia="fr-FR"/>
              </w:rPr>
              <w:t>cadre</w:t>
            </w:r>
            <w:proofErr w:type="gramEnd"/>
            <w:r w:rsidRPr="00C25D68">
              <w:rPr>
                <w:rFonts w:eastAsia="Times New Roman" w:cs="Arial"/>
                <w:sz w:val="16"/>
                <w:szCs w:val="16"/>
                <w:lang w:eastAsia="fr-FR"/>
              </w:rPr>
              <w:t xml:space="preserve"> de vie</w:t>
            </w:r>
          </w:p>
        </w:tc>
        <w:tc>
          <w:tcPr>
            <w:tcW w:w="403" w:type="pct"/>
            <w:shd w:val="clear" w:color="auto" w:fill="auto"/>
            <w:hideMark/>
          </w:tcPr>
          <w:p w14:paraId="2360BC5E"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Valeurs paysagères de qualité</w:t>
            </w:r>
          </w:p>
        </w:tc>
        <w:tc>
          <w:tcPr>
            <w:tcW w:w="1867" w:type="pct"/>
            <w:shd w:val="clear" w:color="auto" w:fill="auto"/>
            <w:hideMark/>
          </w:tcPr>
          <w:p w14:paraId="51271925"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c>
          <w:tcPr>
            <w:tcW w:w="1827" w:type="pct"/>
            <w:shd w:val="clear" w:color="auto" w:fill="auto"/>
            <w:hideMark/>
          </w:tcPr>
          <w:p w14:paraId="63FC86B7"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r w:rsidR="004C1BF8" w:rsidRPr="00C25D68" w14:paraId="4F8C8E8C" w14:textId="77777777" w:rsidTr="00661FE7">
        <w:trPr>
          <w:trHeight w:val="20"/>
        </w:trPr>
        <w:tc>
          <w:tcPr>
            <w:tcW w:w="422" w:type="pct"/>
            <w:shd w:val="clear" w:color="auto" w:fill="DEEAF6"/>
            <w:hideMark/>
          </w:tcPr>
          <w:p w14:paraId="62B86141" w14:textId="77777777" w:rsidR="004C1BF8" w:rsidRPr="00C25D68" w:rsidRDefault="004C1BF8" w:rsidP="00661FE7">
            <w:pPr>
              <w:spacing w:after="0" w:line="240" w:lineRule="auto"/>
              <w:jc w:val="center"/>
              <w:rPr>
                <w:rFonts w:eastAsia="Times New Roman" w:cs="Arial"/>
                <w:b/>
                <w:bCs/>
                <w:sz w:val="16"/>
                <w:szCs w:val="16"/>
                <w:lang w:eastAsia="fr-FR"/>
              </w:rPr>
            </w:pPr>
            <w:proofErr w:type="gramStart"/>
            <w:r w:rsidRPr="00C25D68">
              <w:rPr>
                <w:rFonts w:eastAsia="Times New Roman" w:cs="Arial"/>
                <w:sz w:val="16"/>
                <w:szCs w:val="16"/>
                <w:lang w:eastAsia="fr-FR"/>
              </w:rPr>
              <w:t>contexte</w:t>
            </w:r>
            <w:proofErr w:type="gramEnd"/>
            <w:r w:rsidRPr="00C25D68">
              <w:rPr>
                <w:rFonts w:eastAsia="Times New Roman" w:cs="Arial"/>
                <w:sz w:val="16"/>
                <w:szCs w:val="16"/>
                <w:lang w:eastAsia="fr-FR"/>
              </w:rPr>
              <w:t xml:space="preserve"> paysager</w:t>
            </w:r>
          </w:p>
        </w:tc>
        <w:tc>
          <w:tcPr>
            <w:tcW w:w="481" w:type="pct"/>
            <w:shd w:val="clear" w:color="auto" w:fill="DEEAF6"/>
            <w:hideMark/>
          </w:tcPr>
          <w:p w14:paraId="5677E0AA" w14:textId="77777777" w:rsidR="004C1BF8" w:rsidRPr="00C25D68" w:rsidRDefault="004C1BF8" w:rsidP="00661FE7">
            <w:pPr>
              <w:spacing w:after="0" w:line="240" w:lineRule="auto"/>
              <w:jc w:val="center"/>
              <w:rPr>
                <w:rFonts w:eastAsia="Times New Roman" w:cs="Arial"/>
                <w:sz w:val="16"/>
                <w:szCs w:val="16"/>
                <w:lang w:eastAsia="fr-FR"/>
              </w:rPr>
            </w:pPr>
            <w:proofErr w:type="gramStart"/>
            <w:r w:rsidRPr="00C25D68">
              <w:rPr>
                <w:rFonts w:eastAsia="Times New Roman" w:cs="Arial"/>
                <w:sz w:val="16"/>
                <w:szCs w:val="16"/>
                <w:lang w:eastAsia="fr-FR"/>
              </w:rPr>
              <w:t>cadre</w:t>
            </w:r>
            <w:proofErr w:type="gramEnd"/>
            <w:r w:rsidRPr="00C25D68">
              <w:rPr>
                <w:rFonts w:eastAsia="Times New Roman" w:cs="Arial"/>
                <w:sz w:val="16"/>
                <w:szCs w:val="16"/>
                <w:lang w:eastAsia="fr-FR"/>
              </w:rPr>
              <w:t xml:space="preserve"> de vie</w:t>
            </w:r>
          </w:p>
        </w:tc>
        <w:tc>
          <w:tcPr>
            <w:tcW w:w="403" w:type="pct"/>
            <w:shd w:val="clear" w:color="auto" w:fill="DEEAF6"/>
            <w:hideMark/>
          </w:tcPr>
          <w:p w14:paraId="4FF2C2BB" w14:textId="77777777" w:rsidR="004C1BF8" w:rsidRPr="00C25D68" w:rsidRDefault="004C1BF8" w:rsidP="00661FE7">
            <w:pPr>
              <w:spacing w:after="0" w:line="240" w:lineRule="auto"/>
              <w:jc w:val="center"/>
              <w:rPr>
                <w:rFonts w:eastAsia="Times New Roman" w:cs="Arial"/>
                <w:sz w:val="16"/>
                <w:szCs w:val="16"/>
                <w:lang w:eastAsia="fr-FR"/>
              </w:rPr>
            </w:pPr>
            <w:r w:rsidRPr="00C25D68">
              <w:rPr>
                <w:rFonts w:eastAsia="Times New Roman" w:cs="Arial"/>
                <w:sz w:val="16"/>
                <w:szCs w:val="16"/>
                <w:lang w:eastAsia="fr-FR"/>
              </w:rPr>
              <w:t>Petit patrimoine non protégé</w:t>
            </w:r>
          </w:p>
        </w:tc>
        <w:tc>
          <w:tcPr>
            <w:tcW w:w="1867" w:type="pct"/>
            <w:shd w:val="clear" w:color="auto" w:fill="DEEAF6"/>
            <w:hideMark/>
          </w:tcPr>
          <w:p w14:paraId="2F256C22"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c>
          <w:tcPr>
            <w:tcW w:w="1827" w:type="pct"/>
            <w:shd w:val="clear" w:color="auto" w:fill="DEEAF6"/>
            <w:hideMark/>
          </w:tcPr>
          <w:p w14:paraId="49B212EB" w14:textId="77777777" w:rsidR="004C1BF8" w:rsidRPr="00C25D68" w:rsidRDefault="004C1BF8" w:rsidP="00661FE7">
            <w:pPr>
              <w:spacing w:after="0" w:line="240" w:lineRule="auto"/>
              <w:rPr>
                <w:rFonts w:eastAsia="Times New Roman" w:cs="Arial"/>
                <w:sz w:val="16"/>
                <w:szCs w:val="16"/>
                <w:lang w:eastAsia="fr-FR"/>
              </w:rPr>
            </w:pPr>
            <w:r w:rsidRPr="00C25D68">
              <w:rPr>
                <w:rFonts w:eastAsia="Times New Roman" w:cs="Arial"/>
                <w:sz w:val="16"/>
                <w:szCs w:val="16"/>
                <w:lang w:eastAsia="fr-FR"/>
              </w:rPr>
              <w:t> </w:t>
            </w:r>
          </w:p>
        </w:tc>
      </w:tr>
    </w:tbl>
    <w:p w14:paraId="5E456E25" w14:textId="77777777" w:rsidR="004C1BF8" w:rsidRPr="00FE50F8" w:rsidRDefault="004C1BF8" w:rsidP="004C1BF8">
      <w:pPr>
        <w:jc w:val="both"/>
        <w:rPr>
          <w:highlight w:val="yellow"/>
        </w:rPr>
      </w:pPr>
    </w:p>
    <w:p w14:paraId="43FBAE2D" w14:textId="77777777" w:rsidR="004C1BF8" w:rsidRDefault="004C1BF8" w:rsidP="000A7F0A">
      <w:pPr>
        <w:pStyle w:val="Corpsdetexte"/>
        <w:rPr>
          <w:rFonts w:ascii="Georgia" w:hAnsi="Georgia"/>
          <w:highlight w:val="yellow"/>
        </w:rPr>
      </w:pPr>
    </w:p>
    <w:p w14:paraId="2E8A59C4" w14:textId="77777777" w:rsidR="004C1BF8" w:rsidRDefault="004C1BF8">
      <w:pPr>
        <w:rPr>
          <w:rFonts w:ascii="Georgia" w:eastAsia="Calibri" w:hAnsi="Georgia" w:cstheme="majorBidi"/>
          <w:b/>
          <w:bCs/>
          <w:color w:val="00B0F0"/>
          <w:sz w:val="32"/>
          <w:szCs w:val="32"/>
        </w:rPr>
      </w:pPr>
      <w:bookmarkStart w:id="8" w:name="_Toc190960120"/>
      <w:r>
        <w:rPr>
          <w:rFonts w:ascii="Georgia" w:eastAsia="Calibri" w:hAnsi="Georgia"/>
          <w:b/>
          <w:bCs/>
          <w:color w:val="00B0F0"/>
          <w:sz w:val="32"/>
          <w:szCs w:val="32"/>
        </w:rPr>
        <w:br w:type="page"/>
      </w:r>
    </w:p>
    <w:p w14:paraId="44C84460" w14:textId="5E278E48" w:rsidR="000A7F0A" w:rsidRPr="00C613A7" w:rsidRDefault="000A7F0A" w:rsidP="00A56327">
      <w:pPr>
        <w:pStyle w:val="Titre1"/>
        <w:numPr>
          <w:ilvl w:val="0"/>
          <w:numId w:val="3"/>
        </w:numPr>
        <w:rPr>
          <w:rFonts w:ascii="Georgia" w:eastAsia="Calibri" w:hAnsi="Georgia"/>
          <w:b/>
          <w:bCs/>
          <w:color w:val="00B0F0"/>
          <w:sz w:val="32"/>
          <w:szCs w:val="32"/>
        </w:rPr>
      </w:pPr>
      <w:r w:rsidRPr="00C613A7">
        <w:rPr>
          <w:rFonts w:ascii="Georgia" w:eastAsia="Calibri" w:hAnsi="Georgia"/>
          <w:b/>
          <w:bCs/>
          <w:color w:val="00B0F0"/>
          <w:sz w:val="32"/>
          <w:szCs w:val="32"/>
        </w:rPr>
        <w:t>A</w:t>
      </w:r>
      <w:r w:rsidR="00C613A7" w:rsidRPr="00C613A7">
        <w:rPr>
          <w:rFonts w:ascii="Georgia" w:eastAsia="Calibri" w:hAnsi="Georgia"/>
          <w:b/>
          <w:bCs/>
          <w:color w:val="00B0F0"/>
          <w:sz w:val="32"/>
          <w:szCs w:val="32"/>
        </w:rPr>
        <w:t>nalyse des incidences de la modification simplifiée sur l’environnement et sur les sites Natura 2000</w:t>
      </w:r>
      <w:bookmarkEnd w:id="8"/>
      <w:r w:rsidR="00C613A7" w:rsidRPr="00C613A7">
        <w:rPr>
          <w:rFonts w:ascii="Georgia" w:eastAsia="Calibri" w:hAnsi="Georgia"/>
          <w:b/>
          <w:bCs/>
          <w:color w:val="00B0F0"/>
          <w:sz w:val="32"/>
          <w:szCs w:val="32"/>
        </w:rPr>
        <w:t xml:space="preserve"> </w:t>
      </w:r>
    </w:p>
    <w:p w14:paraId="01D63ED6" w14:textId="77777777" w:rsidR="002B7515" w:rsidRDefault="002B7515" w:rsidP="002B7515">
      <w:pPr>
        <w:rPr>
          <w:rFonts w:ascii="Georgia" w:hAnsi="Georgia"/>
        </w:rPr>
      </w:pPr>
    </w:p>
    <w:tbl>
      <w:tblPr>
        <w:tblStyle w:val="Grilledutableau"/>
        <w:tblW w:w="0" w:type="auto"/>
        <w:tblLook w:val="04A0" w:firstRow="1" w:lastRow="0" w:firstColumn="1" w:lastColumn="0" w:noHBand="0" w:noVBand="1"/>
      </w:tblPr>
      <w:tblGrid>
        <w:gridCol w:w="3020"/>
        <w:gridCol w:w="3021"/>
        <w:gridCol w:w="3021"/>
      </w:tblGrid>
      <w:tr w:rsidR="00FE774B" w14:paraId="2D4FE7D8" w14:textId="77777777" w:rsidTr="00102980">
        <w:tc>
          <w:tcPr>
            <w:tcW w:w="3020" w:type="dxa"/>
            <w:vAlign w:val="center"/>
          </w:tcPr>
          <w:p w14:paraId="516616BA" w14:textId="77777777" w:rsidR="00102980" w:rsidRPr="00102980" w:rsidRDefault="00102980" w:rsidP="00102980">
            <w:pPr>
              <w:jc w:val="center"/>
              <w:rPr>
                <w:rFonts w:ascii="Georgia" w:hAnsi="Georgia"/>
                <w:b/>
                <w:bCs/>
              </w:rPr>
            </w:pPr>
          </w:p>
          <w:p w14:paraId="180CA9B0" w14:textId="77777777" w:rsidR="00102980" w:rsidRDefault="00FE774B" w:rsidP="00102980">
            <w:pPr>
              <w:jc w:val="center"/>
              <w:rPr>
                <w:rFonts w:ascii="Georgia" w:hAnsi="Georgia"/>
                <w:b/>
                <w:bCs/>
              </w:rPr>
            </w:pPr>
            <w:r w:rsidRPr="00102980">
              <w:rPr>
                <w:rFonts w:ascii="Georgia" w:hAnsi="Georgia"/>
                <w:b/>
                <w:bCs/>
              </w:rPr>
              <w:t>Nature de la modification</w:t>
            </w:r>
          </w:p>
          <w:p w14:paraId="40829F3A" w14:textId="74EEF3FE" w:rsidR="00102980" w:rsidRPr="00102980" w:rsidRDefault="00102980" w:rsidP="00102980">
            <w:pPr>
              <w:jc w:val="center"/>
              <w:rPr>
                <w:rFonts w:ascii="Georgia" w:hAnsi="Georgia"/>
                <w:b/>
                <w:bCs/>
              </w:rPr>
            </w:pPr>
          </w:p>
        </w:tc>
        <w:tc>
          <w:tcPr>
            <w:tcW w:w="3021" w:type="dxa"/>
            <w:vAlign w:val="center"/>
          </w:tcPr>
          <w:p w14:paraId="6E23521A" w14:textId="12697DF7" w:rsidR="00FE774B" w:rsidRPr="00102980" w:rsidRDefault="00FE774B" w:rsidP="00102980">
            <w:pPr>
              <w:jc w:val="center"/>
              <w:rPr>
                <w:rFonts w:ascii="Georgia" w:hAnsi="Georgia"/>
                <w:b/>
                <w:bCs/>
              </w:rPr>
            </w:pPr>
            <w:r w:rsidRPr="00102980">
              <w:rPr>
                <w:rFonts w:ascii="Georgia" w:hAnsi="Georgia"/>
                <w:b/>
                <w:bCs/>
              </w:rPr>
              <w:t>Compatibilité avec le PADD</w:t>
            </w:r>
          </w:p>
        </w:tc>
        <w:tc>
          <w:tcPr>
            <w:tcW w:w="3021" w:type="dxa"/>
            <w:vAlign w:val="center"/>
          </w:tcPr>
          <w:p w14:paraId="5C11AE13" w14:textId="74121650" w:rsidR="00FE774B" w:rsidRPr="00102980" w:rsidRDefault="00FE774B" w:rsidP="00102980">
            <w:pPr>
              <w:jc w:val="center"/>
              <w:rPr>
                <w:rFonts w:ascii="Georgia" w:hAnsi="Georgia"/>
                <w:b/>
                <w:bCs/>
              </w:rPr>
            </w:pPr>
            <w:r w:rsidRPr="00102980">
              <w:rPr>
                <w:rFonts w:ascii="Georgia" w:hAnsi="Georgia"/>
                <w:b/>
                <w:bCs/>
              </w:rPr>
              <w:t>Incidences potentielles</w:t>
            </w:r>
          </w:p>
        </w:tc>
      </w:tr>
      <w:tr w:rsidR="00FE774B" w14:paraId="3C6E8B42" w14:textId="77777777" w:rsidTr="00102980">
        <w:tc>
          <w:tcPr>
            <w:tcW w:w="9062" w:type="dxa"/>
            <w:gridSpan w:val="3"/>
            <w:shd w:val="clear" w:color="auto" w:fill="E8E8E8" w:themeFill="background2"/>
          </w:tcPr>
          <w:p w14:paraId="4901645B" w14:textId="77777777" w:rsidR="00102980" w:rsidRDefault="00102980" w:rsidP="00FE774B">
            <w:pPr>
              <w:jc w:val="center"/>
              <w:rPr>
                <w:rFonts w:ascii="Georgia" w:hAnsi="Georgia"/>
              </w:rPr>
            </w:pPr>
          </w:p>
          <w:p w14:paraId="54D7739C" w14:textId="77777777" w:rsidR="00FE774B" w:rsidRPr="00102980" w:rsidRDefault="00FE774B" w:rsidP="00FE774B">
            <w:pPr>
              <w:jc w:val="center"/>
              <w:rPr>
                <w:rFonts w:ascii="Georgia" w:hAnsi="Georgia"/>
                <w:b/>
                <w:bCs/>
              </w:rPr>
            </w:pPr>
            <w:r w:rsidRPr="00102980">
              <w:rPr>
                <w:rFonts w:ascii="Georgia" w:hAnsi="Georgia"/>
                <w:b/>
                <w:bCs/>
              </w:rPr>
              <w:t>Modification du règlement écrit</w:t>
            </w:r>
          </w:p>
          <w:p w14:paraId="3B9774F4" w14:textId="14101BA6" w:rsidR="00102980" w:rsidRDefault="00102980" w:rsidP="00FE774B">
            <w:pPr>
              <w:jc w:val="center"/>
              <w:rPr>
                <w:rFonts w:ascii="Georgia" w:hAnsi="Georgia"/>
              </w:rPr>
            </w:pPr>
          </w:p>
        </w:tc>
      </w:tr>
      <w:tr w:rsidR="00FE774B" w14:paraId="69CBB0FD" w14:textId="77777777" w:rsidTr="00202B25">
        <w:tc>
          <w:tcPr>
            <w:tcW w:w="3020" w:type="dxa"/>
            <w:vAlign w:val="center"/>
          </w:tcPr>
          <w:p w14:paraId="77E13BEA" w14:textId="6034966F" w:rsidR="00FE774B" w:rsidRDefault="00FE774B" w:rsidP="00102980">
            <w:pPr>
              <w:rPr>
                <w:rFonts w:ascii="Georgia" w:hAnsi="Georgia"/>
              </w:rPr>
            </w:pPr>
            <w:r>
              <w:rPr>
                <w:rFonts w:ascii="Georgia" w:hAnsi="Georgia"/>
              </w:rPr>
              <w:t xml:space="preserve">Modifier la règle </w:t>
            </w:r>
            <w:r w:rsidRPr="003C4C29">
              <w:rPr>
                <w:rFonts w:ascii="Georgia" w:hAnsi="Georgia"/>
              </w:rPr>
              <w:t>en matière de limitation de certains usages et d’affectations des sols dans l</w:t>
            </w:r>
            <w:r>
              <w:rPr>
                <w:rFonts w:ascii="Georgia" w:hAnsi="Georgia"/>
              </w:rPr>
              <w:t>es</w:t>
            </w:r>
            <w:r w:rsidRPr="003C4C29">
              <w:rPr>
                <w:rFonts w:ascii="Georgia" w:hAnsi="Georgia"/>
              </w:rPr>
              <w:t xml:space="preserve"> zone</w:t>
            </w:r>
            <w:r>
              <w:rPr>
                <w:rFonts w:ascii="Georgia" w:hAnsi="Georgia"/>
              </w:rPr>
              <w:t>s</w:t>
            </w:r>
            <w:r w:rsidRPr="003C4C29">
              <w:rPr>
                <w:rFonts w:ascii="Georgia" w:hAnsi="Georgia"/>
              </w:rPr>
              <w:t xml:space="preserve"> </w:t>
            </w:r>
            <w:r>
              <w:rPr>
                <w:rFonts w:ascii="Georgia" w:hAnsi="Georgia"/>
              </w:rPr>
              <w:t>Nt1, Nt2 et Na</w:t>
            </w:r>
          </w:p>
        </w:tc>
        <w:tc>
          <w:tcPr>
            <w:tcW w:w="3021" w:type="dxa"/>
            <w:shd w:val="clear" w:color="auto" w:fill="auto"/>
            <w:vAlign w:val="center"/>
          </w:tcPr>
          <w:p w14:paraId="16C47127" w14:textId="5649F8DB" w:rsidR="00FE774B" w:rsidRDefault="00FE774B" w:rsidP="00102980">
            <w:pPr>
              <w:jc w:val="center"/>
              <w:rPr>
                <w:rFonts w:ascii="Georgia" w:hAnsi="Georgia"/>
              </w:rPr>
            </w:pPr>
            <w:r>
              <w:rPr>
                <w:rFonts w:ascii="Georgia" w:hAnsi="Georgia"/>
              </w:rPr>
              <w:t>Axe 2. Orientation 2.</w:t>
            </w:r>
            <w:r w:rsidR="00202B25">
              <w:rPr>
                <w:rFonts w:ascii="Georgia" w:hAnsi="Georgia"/>
              </w:rPr>
              <w:t>4</w:t>
            </w:r>
          </w:p>
        </w:tc>
        <w:tc>
          <w:tcPr>
            <w:tcW w:w="3021" w:type="dxa"/>
            <w:shd w:val="clear" w:color="auto" w:fill="auto"/>
          </w:tcPr>
          <w:p w14:paraId="49B95505" w14:textId="0FB66A0E" w:rsidR="00102980" w:rsidRPr="00102980" w:rsidRDefault="00102980" w:rsidP="00102980">
            <w:pPr>
              <w:pStyle w:val="Corpsdetexte"/>
              <w:jc w:val="both"/>
              <w:rPr>
                <w:rFonts w:ascii="Georgia" w:hAnsi="Georgia"/>
                <w:sz w:val="22"/>
              </w:rPr>
            </w:pPr>
            <w:r w:rsidRPr="00102980">
              <w:rPr>
                <w:rFonts w:ascii="Georgia" w:hAnsi="Georgia"/>
                <w:sz w:val="22"/>
              </w:rPr>
              <w:t xml:space="preserve">Cette modification qui vise à adapter les règles concernant les </w:t>
            </w:r>
            <w:r w:rsidR="00202B25">
              <w:rPr>
                <w:rFonts w:ascii="Georgia" w:hAnsi="Georgia"/>
                <w:sz w:val="22"/>
              </w:rPr>
              <w:t xml:space="preserve">usages et affectations afin d’autoriser les changements de destination des bâtis existants situés dans les zones Nt1, Nt2 et Na. </w:t>
            </w:r>
          </w:p>
          <w:p w14:paraId="0935A370" w14:textId="763FFC13" w:rsidR="00FE774B" w:rsidRDefault="00102980" w:rsidP="00202B25">
            <w:pPr>
              <w:rPr>
                <w:rFonts w:ascii="Georgia" w:hAnsi="Georgia"/>
              </w:rPr>
            </w:pPr>
            <w:r w:rsidRPr="00102980">
              <w:rPr>
                <w:rFonts w:ascii="Georgia" w:hAnsi="Georgia"/>
              </w:rPr>
              <w:t xml:space="preserve">Elle permet, d’apporter une souplesse, favorisant </w:t>
            </w:r>
            <w:r w:rsidR="00202B25">
              <w:rPr>
                <w:rFonts w:ascii="Georgia" w:hAnsi="Georgia"/>
              </w:rPr>
              <w:t xml:space="preserve">le développement d’activités en matière d’hébergements hôteliers et touristiques (zone Nt1), de services où s’effectue l’accueil de clientèle (zone Nt2) et d’artisanat et commerce de détail (zone Na) ce qui </w:t>
            </w:r>
            <w:r w:rsidR="00202B25" w:rsidRPr="00102980">
              <w:rPr>
                <w:rFonts w:ascii="Georgia" w:hAnsi="Georgia"/>
              </w:rPr>
              <w:t>a une incidence positive sur l’activité économique</w:t>
            </w:r>
            <w:r w:rsidR="00202B25">
              <w:rPr>
                <w:rFonts w:ascii="Georgia" w:hAnsi="Georgia"/>
              </w:rPr>
              <w:t xml:space="preserve"> et touristique du territoire</w:t>
            </w:r>
            <w:r w:rsidR="00202B25" w:rsidRPr="00102980">
              <w:rPr>
                <w:rFonts w:ascii="Georgia" w:hAnsi="Georgia"/>
              </w:rPr>
              <w:t>.</w:t>
            </w:r>
          </w:p>
        </w:tc>
      </w:tr>
    </w:tbl>
    <w:p w14:paraId="76945FFC" w14:textId="77777777" w:rsidR="00FE774B" w:rsidRPr="002B7515" w:rsidRDefault="00FE774B" w:rsidP="002B7515">
      <w:pPr>
        <w:rPr>
          <w:rFonts w:ascii="Georgia" w:hAnsi="Georgia"/>
        </w:rPr>
      </w:pPr>
    </w:p>
    <w:sectPr w:rsidR="00FE774B" w:rsidRPr="002B751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E7D78" w14:textId="77777777" w:rsidR="002B7515" w:rsidRDefault="002B7515" w:rsidP="002B7515">
      <w:pPr>
        <w:spacing w:after="0" w:line="240" w:lineRule="auto"/>
      </w:pPr>
      <w:r>
        <w:separator/>
      </w:r>
    </w:p>
  </w:endnote>
  <w:endnote w:type="continuationSeparator" w:id="0">
    <w:p w14:paraId="72716D68" w14:textId="77777777" w:rsidR="002B7515" w:rsidRDefault="002B7515" w:rsidP="002B7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3CB05" w14:textId="5F48A477" w:rsidR="00C935D9" w:rsidRDefault="00C935D9">
    <w:pPr>
      <w:pStyle w:val="Pieddepage"/>
    </w:pPr>
    <w:r w:rsidRPr="00C935D9">
      <w:rPr>
        <w:rFonts w:ascii="Georgia" w:hAnsi="Georgia"/>
        <w:sz w:val="20"/>
        <w:szCs w:val="20"/>
      </w:rPr>
      <w:fldChar w:fldCharType="begin"/>
    </w:r>
    <w:r w:rsidRPr="00C935D9">
      <w:rPr>
        <w:rFonts w:ascii="Georgia" w:hAnsi="Georgia"/>
        <w:sz w:val="20"/>
        <w:szCs w:val="20"/>
      </w:rPr>
      <w:instrText xml:space="preserve"> TIME \@ "dd/MM/yyyy" </w:instrText>
    </w:r>
    <w:r w:rsidRPr="00C935D9">
      <w:rPr>
        <w:rFonts w:ascii="Georgia" w:hAnsi="Georgia"/>
        <w:sz w:val="20"/>
        <w:szCs w:val="20"/>
      </w:rPr>
      <w:fldChar w:fldCharType="separate"/>
    </w:r>
    <w:r w:rsidR="00D570B5">
      <w:rPr>
        <w:rFonts w:ascii="Georgia" w:hAnsi="Georgia"/>
        <w:noProof/>
        <w:sz w:val="20"/>
        <w:szCs w:val="20"/>
      </w:rPr>
      <w:t>07/05/2025</w:t>
    </w:r>
    <w:r w:rsidRPr="00C935D9">
      <w:rPr>
        <w:rFonts w:ascii="Georgia" w:hAnsi="Georgia"/>
        <w:sz w:val="20"/>
        <w:szCs w:val="20"/>
      </w:rPr>
      <w:fldChar w:fldCharType="end"/>
    </w:r>
    <w:r w:rsidRPr="00C935D9">
      <w:rPr>
        <w:rFonts w:ascii="Georgia" w:hAnsi="Georgia"/>
        <w:sz w:val="20"/>
        <w:szCs w:val="20"/>
      </w:rPr>
      <w:ptab w:relativeTo="margin" w:alignment="center" w:leader="none"/>
    </w:r>
    <w:r w:rsidRPr="00C935D9">
      <w:rPr>
        <w:rFonts w:ascii="Georgia" w:hAnsi="Georgia"/>
        <w:sz w:val="20"/>
        <w:szCs w:val="20"/>
      </w:rPr>
      <w:t>Communauté de Communes Pays d’</w:t>
    </w:r>
    <w:proofErr w:type="spellStart"/>
    <w:r w:rsidRPr="00C935D9">
      <w:rPr>
        <w:rFonts w:ascii="Georgia" w:hAnsi="Georgia"/>
        <w:sz w:val="20"/>
        <w:szCs w:val="20"/>
      </w:rPr>
      <w:t>Orthe</w:t>
    </w:r>
    <w:proofErr w:type="spellEnd"/>
    <w:r w:rsidRPr="00C935D9">
      <w:rPr>
        <w:rFonts w:ascii="Georgia" w:hAnsi="Georgia"/>
        <w:sz w:val="20"/>
        <w:szCs w:val="20"/>
      </w:rPr>
      <w:t xml:space="preserve"> et </w:t>
    </w:r>
    <w:proofErr w:type="spellStart"/>
    <w:r w:rsidRPr="00C935D9">
      <w:rPr>
        <w:rFonts w:ascii="Georgia" w:hAnsi="Georgia"/>
        <w:sz w:val="20"/>
        <w:szCs w:val="20"/>
      </w:rPr>
      <w:t>Arrigans</w:t>
    </w:r>
    <w:proofErr w:type="spellEnd"/>
    <w:r w:rsidRPr="00C935D9">
      <w:rPr>
        <w:rFonts w:ascii="Georgia" w:hAnsi="Georgia"/>
        <w:sz w:val="20"/>
        <w:szCs w:val="20"/>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3094E" w14:textId="63B16D71" w:rsidR="002B7515" w:rsidRPr="002B7515" w:rsidRDefault="002B7515">
    <w:pPr>
      <w:pStyle w:val="Pieddepage"/>
      <w:rPr>
        <w:rFonts w:ascii="Georgia" w:hAnsi="Georgia"/>
      </w:rPr>
    </w:pPr>
    <w:r w:rsidRPr="002B7515">
      <w:rPr>
        <w:rFonts w:ascii="Georgia" w:hAnsi="Georgia"/>
      </w:rPr>
      <w:fldChar w:fldCharType="begin"/>
    </w:r>
    <w:r w:rsidRPr="002B7515">
      <w:rPr>
        <w:rFonts w:ascii="Georgia" w:hAnsi="Georgia"/>
      </w:rPr>
      <w:instrText xml:space="preserve"> TIME \@ "dd/MM/yyyy" </w:instrText>
    </w:r>
    <w:r w:rsidRPr="002B7515">
      <w:rPr>
        <w:rFonts w:ascii="Georgia" w:hAnsi="Georgia"/>
      </w:rPr>
      <w:fldChar w:fldCharType="separate"/>
    </w:r>
    <w:r w:rsidR="00D570B5">
      <w:rPr>
        <w:rFonts w:ascii="Georgia" w:hAnsi="Georgia"/>
        <w:noProof/>
      </w:rPr>
      <w:t>07/05/2025</w:t>
    </w:r>
    <w:r w:rsidRPr="002B7515">
      <w:rPr>
        <w:rFonts w:ascii="Georgia" w:hAnsi="Georgia"/>
      </w:rPr>
      <w:fldChar w:fldCharType="end"/>
    </w:r>
    <w:r w:rsidRPr="002B7515">
      <w:rPr>
        <w:rFonts w:ascii="Georgia" w:hAnsi="Georgia"/>
      </w:rPr>
      <w:ptab w:relativeTo="margin" w:alignment="center" w:leader="none"/>
    </w:r>
    <w:r w:rsidRPr="002B7515">
      <w:rPr>
        <w:rFonts w:ascii="Georgia" w:hAnsi="Georgia"/>
        <w:color w:val="808080" w:themeColor="background1" w:themeShade="80"/>
        <w:sz w:val="18"/>
        <w:szCs w:val="18"/>
      </w:rPr>
      <w:t>Communauté</w:t>
    </w:r>
    <w:r w:rsidRPr="002B7515">
      <w:rPr>
        <w:rFonts w:ascii="Georgia" w:hAnsi="Georgia"/>
        <w:sz w:val="18"/>
        <w:szCs w:val="18"/>
      </w:rPr>
      <w:t xml:space="preserve"> </w:t>
    </w:r>
    <w:r w:rsidRPr="002B7515">
      <w:rPr>
        <w:rFonts w:ascii="Georgia" w:hAnsi="Georgia"/>
        <w:color w:val="808080" w:themeColor="background1" w:themeShade="80"/>
        <w:sz w:val="18"/>
        <w:szCs w:val="18"/>
      </w:rPr>
      <w:t>de Communes du Pays d’</w:t>
    </w:r>
    <w:proofErr w:type="spellStart"/>
    <w:r w:rsidRPr="002B7515">
      <w:rPr>
        <w:rFonts w:ascii="Georgia" w:hAnsi="Georgia"/>
        <w:color w:val="808080" w:themeColor="background1" w:themeShade="80"/>
        <w:sz w:val="18"/>
        <w:szCs w:val="18"/>
      </w:rPr>
      <w:t>Orthe</w:t>
    </w:r>
    <w:proofErr w:type="spellEnd"/>
    <w:r w:rsidRPr="002B7515">
      <w:rPr>
        <w:rFonts w:ascii="Georgia" w:hAnsi="Georgia"/>
        <w:color w:val="808080" w:themeColor="background1" w:themeShade="80"/>
        <w:sz w:val="18"/>
        <w:szCs w:val="18"/>
      </w:rPr>
      <w:t xml:space="preserve"> et </w:t>
    </w:r>
    <w:proofErr w:type="spellStart"/>
    <w:r w:rsidRPr="002B7515">
      <w:rPr>
        <w:rFonts w:ascii="Georgia" w:hAnsi="Georgia"/>
        <w:color w:val="808080" w:themeColor="background1" w:themeShade="80"/>
        <w:sz w:val="18"/>
        <w:szCs w:val="18"/>
      </w:rPr>
      <w:t>Arrigans</w:t>
    </w:r>
    <w:proofErr w:type="spellEnd"/>
    <w:r w:rsidRPr="002B7515">
      <w:rPr>
        <w:rFonts w:ascii="Georgia" w:hAnsi="Georgia"/>
        <w:color w:val="808080" w:themeColor="background1" w:themeShade="80"/>
        <w:sz w:val="18"/>
        <w:szCs w:val="18"/>
      </w:rPr>
      <w:t xml:space="preserve"> </w:t>
    </w:r>
    <w:r w:rsidRPr="005427FE">
      <w:rPr>
        <w:rFonts w:ascii="Georgia" w:hAnsi="Georgia"/>
        <w:sz w:val="20"/>
        <w:szCs w:val="20"/>
      </w:rPr>
      <w:ptab w:relativeTo="margin" w:alignment="right" w:leader="none"/>
    </w:r>
    <w:r w:rsidR="005427FE" w:rsidRPr="005427FE">
      <w:rPr>
        <w:rFonts w:ascii="Georgia" w:hAnsi="Georgia"/>
        <w:sz w:val="20"/>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A307A" w14:textId="77777777" w:rsidR="002B7515" w:rsidRDefault="002B7515" w:rsidP="002B7515">
      <w:pPr>
        <w:spacing w:after="0" w:line="240" w:lineRule="auto"/>
      </w:pPr>
      <w:r>
        <w:separator/>
      </w:r>
    </w:p>
  </w:footnote>
  <w:footnote w:type="continuationSeparator" w:id="0">
    <w:p w14:paraId="59A80BD7" w14:textId="77777777" w:rsidR="002B7515" w:rsidRDefault="002B7515" w:rsidP="002B75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46EA6"/>
    <w:multiLevelType w:val="hybridMultilevel"/>
    <w:tmpl w:val="8F94C3BA"/>
    <w:lvl w:ilvl="0" w:tplc="81E6E0EE">
      <w:start w:val="1"/>
      <w:numFmt w:val="bullet"/>
      <w:lvlText w:val=""/>
      <w:lvlJc w:val="left"/>
      <w:pPr>
        <w:ind w:left="1776" w:hanging="360"/>
      </w:pPr>
      <w:rPr>
        <w:rFonts w:ascii="Wingdings" w:eastAsiaTheme="majorEastAsia" w:hAnsi="Wingdings" w:cstheme="majorBidi" w:hint="default"/>
        <w:color w:val="auto"/>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0E1B43B9"/>
    <w:multiLevelType w:val="hybridMultilevel"/>
    <w:tmpl w:val="7B920E6A"/>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84097E"/>
    <w:multiLevelType w:val="hybridMultilevel"/>
    <w:tmpl w:val="2E40ABBE"/>
    <w:lvl w:ilvl="0" w:tplc="48AA0E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B71B04"/>
    <w:multiLevelType w:val="hybridMultilevel"/>
    <w:tmpl w:val="A888FE74"/>
    <w:lvl w:ilvl="0" w:tplc="F22AF5B4">
      <w:start w:val="1"/>
      <w:numFmt w:val="bullet"/>
      <w:lvlText w:val=""/>
      <w:lvlJc w:val="left"/>
      <w:pPr>
        <w:ind w:left="2136" w:hanging="360"/>
      </w:pPr>
      <w:rPr>
        <w:rFonts w:ascii="Wingdings" w:eastAsiaTheme="majorEastAsia" w:hAnsi="Wingdings" w:cstheme="majorBidi"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35F06AD8"/>
    <w:multiLevelType w:val="hybridMultilevel"/>
    <w:tmpl w:val="3DDEED78"/>
    <w:lvl w:ilvl="0" w:tplc="6BDC4840">
      <w:start w:val="1"/>
      <w:numFmt w:val="lowerLetter"/>
      <w:lvlText w:val="%1)"/>
      <w:lvlJc w:val="left"/>
      <w:pPr>
        <w:ind w:left="1776" w:hanging="360"/>
      </w:pPr>
      <w:rPr>
        <w:rFonts w:asciiTheme="minorHAnsi" w:hAnsiTheme="minorHAnsi"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5" w15:restartNumberingAfterBreak="0">
    <w:nsid w:val="3D8903C4"/>
    <w:multiLevelType w:val="hybridMultilevel"/>
    <w:tmpl w:val="EB90BC6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D44159"/>
    <w:multiLevelType w:val="hybridMultilevel"/>
    <w:tmpl w:val="4A003D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127DA5"/>
    <w:multiLevelType w:val="hybridMultilevel"/>
    <w:tmpl w:val="DC60F204"/>
    <w:lvl w:ilvl="0" w:tplc="7570E7B0">
      <w:start w:val="1"/>
      <w:numFmt w:val="bullet"/>
      <w:lvlText w:val=""/>
      <w:lvlJc w:val="left"/>
      <w:pPr>
        <w:ind w:left="720" w:hanging="360"/>
      </w:pPr>
      <w:rPr>
        <w:rFonts w:ascii="Wingdings" w:eastAsia="Calibri" w:hAnsi="Wingdings" w:cs="Myanmar Tex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58680D"/>
    <w:multiLevelType w:val="hybridMultilevel"/>
    <w:tmpl w:val="F822CA4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187DE6"/>
    <w:multiLevelType w:val="hybridMultilevel"/>
    <w:tmpl w:val="E72869DA"/>
    <w:lvl w:ilvl="0" w:tplc="EFBCA086">
      <w:start w:val="1"/>
      <w:numFmt w:val="bullet"/>
      <w:lvlText w:val=""/>
      <w:lvlJc w:val="left"/>
      <w:pPr>
        <w:ind w:left="720" w:hanging="360"/>
      </w:pPr>
      <w:rPr>
        <w:rFonts w:ascii="Wingdings" w:eastAsia="Calibri" w:hAnsi="Wingdings" w:cs="Myanmar Tex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FAC4393"/>
    <w:multiLevelType w:val="hybridMultilevel"/>
    <w:tmpl w:val="03E01A94"/>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30728839">
    <w:abstractNumId w:val="2"/>
  </w:num>
  <w:num w:numId="2" w16cid:durableId="1639259414">
    <w:abstractNumId w:val="10"/>
  </w:num>
  <w:num w:numId="3" w16cid:durableId="1394500810">
    <w:abstractNumId w:val="5"/>
  </w:num>
  <w:num w:numId="4" w16cid:durableId="1720086643">
    <w:abstractNumId w:val="1"/>
  </w:num>
  <w:num w:numId="5" w16cid:durableId="758916044">
    <w:abstractNumId w:val="8"/>
  </w:num>
  <w:num w:numId="6" w16cid:durableId="1936743071">
    <w:abstractNumId w:val="9"/>
  </w:num>
  <w:num w:numId="7" w16cid:durableId="2104061440">
    <w:abstractNumId w:val="6"/>
  </w:num>
  <w:num w:numId="8" w16cid:durableId="7830881">
    <w:abstractNumId w:val="4"/>
  </w:num>
  <w:num w:numId="9" w16cid:durableId="805855533">
    <w:abstractNumId w:val="0"/>
  </w:num>
  <w:num w:numId="10" w16cid:durableId="1150051397">
    <w:abstractNumId w:val="3"/>
  </w:num>
  <w:num w:numId="11" w16cid:durableId="609078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15"/>
    <w:rsid w:val="000527F4"/>
    <w:rsid w:val="000A7F0A"/>
    <w:rsid w:val="00102980"/>
    <w:rsid w:val="00164819"/>
    <w:rsid w:val="00202B25"/>
    <w:rsid w:val="00226867"/>
    <w:rsid w:val="002805BA"/>
    <w:rsid w:val="002B7515"/>
    <w:rsid w:val="00303873"/>
    <w:rsid w:val="003438BD"/>
    <w:rsid w:val="00350B43"/>
    <w:rsid w:val="00371449"/>
    <w:rsid w:val="003C4C29"/>
    <w:rsid w:val="0040286D"/>
    <w:rsid w:val="004A7562"/>
    <w:rsid w:val="004B5844"/>
    <w:rsid w:val="004C1BF8"/>
    <w:rsid w:val="005427FE"/>
    <w:rsid w:val="005E2A11"/>
    <w:rsid w:val="00701767"/>
    <w:rsid w:val="00783D12"/>
    <w:rsid w:val="007F677A"/>
    <w:rsid w:val="00862F22"/>
    <w:rsid w:val="009841DD"/>
    <w:rsid w:val="009A2EBB"/>
    <w:rsid w:val="00A56327"/>
    <w:rsid w:val="00A572CA"/>
    <w:rsid w:val="00B83374"/>
    <w:rsid w:val="00B83D88"/>
    <w:rsid w:val="00BF3EFF"/>
    <w:rsid w:val="00C32313"/>
    <w:rsid w:val="00C613A7"/>
    <w:rsid w:val="00C85D57"/>
    <w:rsid w:val="00C935D9"/>
    <w:rsid w:val="00CE721B"/>
    <w:rsid w:val="00D570B5"/>
    <w:rsid w:val="00DF4481"/>
    <w:rsid w:val="00EF3041"/>
    <w:rsid w:val="00FE7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2C9103"/>
  <w15:chartTrackingRefBased/>
  <w15:docId w15:val="{3645E60C-4E1C-4457-B289-BE0E2A398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B7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2B7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2B751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2B751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B751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B751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B751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B751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B751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B751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2B751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2B751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2B751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B751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B751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B751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B751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B7515"/>
    <w:rPr>
      <w:rFonts w:eastAsiaTheme="majorEastAsia" w:cstheme="majorBidi"/>
      <w:color w:val="272727" w:themeColor="text1" w:themeTint="D8"/>
    </w:rPr>
  </w:style>
  <w:style w:type="paragraph" w:styleId="Titre">
    <w:name w:val="Title"/>
    <w:basedOn w:val="Normal"/>
    <w:next w:val="Normal"/>
    <w:link w:val="TitreCar"/>
    <w:uiPriority w:val="10"/>
    <w:qFormat/>
    <w:rsid w:val="002B7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B751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B751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B751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B7515"/>
    <w:pPr>
      <w:spacing w:before="160"/>
      <w:jc w:val="center"/>
    </w:pPr>
    <w:rPr>
      <w:i/>
      <w:iCs/>
      <w:color w:val="404040" w:themeColor="text1" w:themeTint="BF"/>
    </w:rPr>
  </w:style>
  <w:style w:type="character" w:customStyle="1" w:styleId="CitationCar">
    <w:name w:val="Citation Car"/>
    <w:basedOn w:val="Policepardfaut"/>
    <w:link w:val="Citation"/>
    <w:uiPriority w:val="29"/>
    <w:rsid w:val="002B7515"/>
    <w:rPr>
      <w:i/>
      <w:iCs/>
      <w:color w:val="404040" w:themeColor="text1" w:themeTint="BF"/>
    </w:rPr>
  </w:style>
  <w:style w:type="paragraph" w:styleId="Paragraphedeliste">
    <w:name w:val="List Paragraph"/>
    <w:basedOn w:val="Normal"/>
    <w:uiPriority w:val="34"/>
    <w:qFormat/>
    <w:rsid w:val="002B7515"/>
    <w:pPr>
      <w:ind w:left="720"/>
      <w:contextualSpacing/>
    </w:pPr>
  </w:style>
  <w:style w:type="character" w:styleId="Accentuationintense">
    <w:name w:val="Intense Emphasis"/>
    <w:basedOn w:val="Policepardfaut"/>
    <w:uiPriority w:val="21"/>
    <w:qFormat/>
    <w:rsid w:val="002B7515"/>
    <w:rPr>
      <w:i/>
      <w:iCs/>
      <w:color w:val="0F4761" w:themeColor="accent1" w:themeShade="BF"/>
    </w:rPr>
  </w:style>
  <w:style w:type="paragraph" w:styleId="Citationintense">
    <w:name w:val="Intense Quote"/>
    <w:basedOn w:val="Normal"/>
    <w:next w:val="Normal"/>
    <w:link w:val="CitationintenseCar"/>
    <w:uiPriority w:val="30"/>
    <w:qFormat/>
    <w:rsid w:val="002B7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B7515"/>
    <w:rPr>
      <w:i/>
      <w:iCs/>
      <w:color w:val="0F4761" w:themeColor="accent1" w:themeShade="BF"/>
    </w:rPr>
  </w:style>
  <w:style w:type="character" w:styleId="Rfrenceintense">
    <w:name w:val="Intense Reference"/>
    <w:basedOn w:val="Policepardfaut"/>
    <w:uiPriority w:val="32"/>
    <w:qFormat/>
    <w:rsid w:val="002B7515"/>
    <w:rPr>
      <w:b/>
      <w:bCs/>
      <w:smallCaps/>
      <w:color w:val="0F4761" w:themeColor="accent1" w:themeShade="BF"/>
      <w:spacing w:val="5"/>
    </w:rPr>
  </w:style>
  <w:style w:type="paragraph" w:styleId="En-tte">
    <w:name w:val="header"/>
    <w:basedOn w:val="Normal"/>
    <w:link w:val="En-tteCar"/>
    <w:uiPriority w:val="99"/>
    <w:unhideWhenUsed/>
    <w:rsid w:val="002B7515"/>
    <w:pPr>
      <w:tabs>
        <w:tab w:val="center" w:pos="4536"/>
        <w:tab w:val="right" w:pos="9072"/>
      </w:tabs>
      <w:spacing w:after="0" w:line="240" w:lineRule="auto"/>
    </w:pPr>
  </w:style>
  <w:style w:type="character" w:customStyle="1" w:styleId="En-tteCar">
    <w:name w:val="En-tête Car"/>
    <w:basedOn w:val="Policepardfaut"/>
    <w:link w:val="En-tte"/>
    <w:uiPriority w:val="99"/>
    <w:rsid w:val="002B7515"/>
  </w:style>
  <w:style w:type="paragraph" w:styleId="Pieddepage">
    <w:name w:val="footer"/>
    <w:basedOn w:val="Normal"/>
    <w:link w:val="PieddepageCar"/>
    <w:uiPriority w:val="99"/>
    <w:unhideWhenUsed/>
    <w:rsid w:val="002B75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7515"/>
  </w:style>
  <w:style w:type="paragraph" w:styleId="Corpsdetexte">
    <w:name w:val="Body Text"/>
    <w:basedOn w:val="Normal"/>
    <w:link w:val="CorpsdetexteCar"/>
    <w:qFormat/>
    <w:rsid w:val="002B7515"/>
    <w:pPr>
      <w:spacing w:after="200" w:line="240" w:lineRule="auto"/>
    </w:pPr>
    <w:rPr>
      <w:rFonts w:ascii="Calibri" w:eastAsia="Calibri" w:hAnsi="Calibri" w:cs="Myanmar Text"/>
      <w:kern w:val="0"/>
      <w:sz w:val="20"/>
      <w14:ligatures w14:val="none"/>
    </w:rPr>
  </w:style>
  <w:style w:type="character" w:customStyle="1" w:styleId="CorpsdetexteCar">
    <w:name w:val="Corps de texte Car"/>
    <w:basedOn w:val="Policepardfaut"/>
    <w:link w:val="Corpsdetexte"/>
    <w:rsid w:val="002B7515"/>
    <w:rPr>
      <w:rFonts w:ascii="Calibri" w:eastAsia="Calibri" w:hAnsi="Calibri" w:cs="Myanmar Text"/>
      <w:kern w:val="0"/>
      <w:sz w:val="20"/>
      <w14:ligatures w14:val="none"/>
    </w:rPr>
  </w:style>
  <w:style w:type="paragraph" w:styleId="En-ttedetabledesmatires">
    <w:name w:val="TOC Heading"/>
    <w:basedOn w:val="Titre1"/>
    <w:next w:val="Normal"/>
    <w:uiPriority w:val="39"/>
    <w:unhideWhenUsed/>
    <w:qFormat/>
    <w:rsid w:val="00A56327"/>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A56327"/>
    <w:pPr>
      <w:spacing w:after="100"/>
    </w:pPr>
  </w:style>
  <w:style w:type="paragraph" w:styleId="TM2">
    <w:name w:val="toc 2"/>
    <w:basedOn w:val="Normal"/>
    <w:next w:val="Normal"/>
    <w:autoRedefine/>
    <w:uiPriority w:val="39"/>
    <w:unhideWhenUsed/>
    <w:rsid w:val="00A56327"/>
    <w:pPr>
      <w:spacing w:after="100"/>
      <w:ind w:left="220"/>
    </w:pPr>
  </w:style>
  <w:style w:type="paragraph" w:styleId="TM3">
    <w:name w:val="toc 3"/>
    <w:basedOn w:val="Normal"/>
    <w:next w:val="Normal"/>
    <w:autoRedefine/>
    <w:uiPriority w:val="39"/>
    <w:unhideWhenUsed/>
    <w:rsid w:val="00A56327"/>
    <w:pPr>
      <w:spacing w:after="100"/>
      <w:ind w:left="440"/>
    </w:pPr>
  </w:style>
  <w:style w:type="character" w:styleId="Lienhypertexte">
    <w:name w:val="Hyperlink"/>
    <w:basedOn w:val="Policepardfaut"/>
    <w:uiPriority w:val="99"/>
    <w:unhideWhenUsed/>
    <w:rsid w:val="00A56327"/>
    <w:rPr>
      <w:color w:val="467886" w:themeColor="hyperlink"/>
      <w:u w:val="single"/>
    </w:rPr>
  </w:style>
  <w:style w:type="character" w:styleId="Marquedecommentaire">
    <w:name w:val="annotation reference"/>
    <w:basedOn w:val="Policepardfaut"/>
    <w:uiPriority w:val="99"/>
    <w:semiHidden/>
    <w:unhideWhenUsed/>
    <w:rsid w:val="00C613A7"/>
    <w:rPr>
      <w:sz w:val="16"/>
      <w:szCs w:val="16"/>
    </w:rPr>
  </w:style>
  <w:style w:type="paragraph" w:styleId="Commentaire">
    <w:name w:val="annotation text"/>
    <w:basedOn w:val="Normal"/>
    <w:link w:val="CommentaireCar"/>
    <w:uiPriority w:val="99"/>
    <w:unhideWhenUsed/>
    <w:rsid w:val="00C613A7"/>
    <w:pPr>
      <w:spacing w:line="240" w:lineRule="auto"/>
    </w:pPr>
    <w:rPr>
      <w:sz w:val="20"/>
      <w:szCs w:val="20"/>
    </w:rPr>
  </w:style>
  <w:style w:type="character" w:customStyle="1" w:styleId="CommentaireCar">
    <w:name w:val="Commentaire Car"/>
    <w:basedOn w:val="Policepardfaut"/>
    <w:link w:val="Commentaire"/>
    <w:uiPriority w:val="99"/>
    <w:rsid w:val="00C613A7"/>
    <w:rPr>
      <w:sz w:val="20"/>
      <w:szCs w:val="20"/>
    </w:rPr>
  </w:style>
  <w:style w:type="paragraph" w:styleId="Objetducommentaire">
    <w:name w:val="annotation subject"/>
    <w:basedOn w:val="Commentaire"/>
    <w:next w:val="Commentaire"/>
    <w:link w:val="ObjetducommentaireCar"/>
    <w:uiPriority w:val="99"/>
    <w:semiHidden/>
    <w:unhideWhenUsed/>
    <w:rsid w:val="00C613A7"/>
    <w:rPr>
      <w:b/>
      <w:bCs/>
    </w:rPr>
  </w:style>
  <w:style w:type="character" w:customStyle="1" w:styleId="ObjetducommentaireCar">
    <w:name w:val="Objet du commentaire Car"/>
    <w:basedOn w:val="CommentaireCar"/>
    <w:link w:val="Objetducommentaire"/>
    <w:uiPriority w:val="99"/>
    <w:semiHidden/>
    <w:rsid w:val="00C613A7"/>
    <w:rPr>
      <w:b/>
      <w:bCs/>
      <w:sz w:val="20"/>
      <w:szCs w:val="20"/>
    </w:rPr>
  </w:style>
  <w:style w:type="character" w:styleId="Textedelespacerserv">
    <w:name w:val="Placeholder Text"/>
    <w:basedOn w:val="Policepardfaut"/>
    <w:uiPriority w:val="99"/>
    <w:semiHidden/>
    <w:rsid w:val="00BF3EFF"/>
    <w:rPr>
      <w:color w:val="666666"/>
    </w:rPr>
  </w:style>
  <w:style w:type="table" w:styleId="Grilledutableau">
    <w:name w:val="Table Grid"/>
    <w:basedOn w:val="TableauNormal"/>
    <w:uiPriority w:val="39"/>
    <w:rsid w:val="00FE77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FB1D2-2F08-44B3-B77A-81D43C45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5297</Words>
  <Characters>29137</Characters>
  <Application>Microsoft Office Word</Application>
  <DocSecurity>0</DocSecurity>
  <Lines>242</Lines>
  <Paragraphs>68</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
      <vt:lpstr>Préambule </vt:lpstr>
      <vt:lpstr>Objets de la modification simplifiée et évolutions envisagées </vt:lpstr>
      <vt:lpstr>    Modification du règlement écrit </vt:lpstr>
      <vt:lpstr>        Précision de la règle en matière de limitation de certains usages et d’affectati</vt:lpstr>
      <vt:lpstr>Etat Initial de l’Environnement </vt:lpstr>
      <vt:lpstr>Analyse des incidences de la modification simplifiée sur l’environnement et sur</vt:lpstr>
    </vt:vector>
  </TitlesOfParts>
  <Company/>
  <LinksUpToDate>false</LinksUpToDate>
  <CharactersWithSpaces>34366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Communauté de Communes du Pays d’Orthe et Arrigans</dc:creator>
  <cp:keywords/>
  <dc:description/>
  <cp:lastModifiedBy>Camille LARRERE</cp:lastModifiedBy>
  <cp:revision>2</cp:revision>
  <cp:lastPrinted>2025-03-25T15:23:00Z</cp:lastPrinted>
  <dcterms:created xsi:type="dcterms:W3CDTF">2025-05-07T08:22:00Z</dcterms:created>
  <dcterms:modified xsi:type="dcterms:W3CDTF">2025-05-07T08:22:00Z</dcterms:modified>
</cp:coreProperties>
</file>